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C98464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D3618">
        <w:rPr>
          <w:rFonts w:ascii="Arial" w:eastAsiaTheme="minorEastAsia" w:hAnsi="Arial" w:cs="Arial"/>
          <w:b/>
          <w:sz w:val="24"/>
          <w:szCs w:val="24"/>
          <w:lang w:eastAsia="zh-CN"/>
        </w:rPr>
        <w:t>10</w:t>
      </w:r>
      <w:r w:rsidR="00F059BE">
        <w:rPr>
          <w:rFonts w:ascii="Arial" w:eastAsiaTheme="minorEastAsia" w:hAnsi="Arial" w:cs="Arial"/>
          <w:b/>
          <w:sz w:val="24"/>
          <w:szCs w:val="24"/>
          <w:lang w:eastAsia="zh-CN"/>
        </w:rPr>
        <w:t>1</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e</w:t>
      </w:r>
      <w:r w:rsidR="00A27977">
        <w:rPr>
          <w:rFonts w:ascii="Arial" w:eastAsiaTheme="minorEastAsia" w:hAnsi="Arial" w:cs="Arial"/>
          <w:b/>
          <w:sz w:val="24"/>
          <w:szCs w:val="24"/>
          <w:lang w:eastAsia="zh-CN"/>
        </w:rPr>
        <w:t xml:space="preserve">  </w:t>
      </w:r>
      <w:r w:rsidR="00E50AE3">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772410" w:rsidRPr="00535DF9">
        <w:rPr>
          <w:rFonts w:ascii="Arial" w:eastAsia="MS Mincho" w:hAnsi="Arial" w:cs="Arial"/>
          <w:b/>
          <w:sz w:val="24"/>
          <w:szCs w:val="24"/>
        </w:rPr>
        <w:t>21</w:t>
      </w:r>
      <w:r w:rsidR="00D25352">
        <w:rPr>
          <w:rFonts w:ascii="Arial" w:eastAsia="MS Mincho" w:hAnsi="Arial" w:cs="Arial"/>
          <w:b/>
          <w:sz w:val="24"/>
          <w:szCs w:val="24"/>
        </w:rPr>
        <w:t>18225</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07752EE6" w14:textId="4BD3ED19" w:rsidR="003E237E" w:rsidRDefault="003E237E" w:rsidP="003E237E">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F059BE" w:rsidRPr="00F059BE">
        <w:rPr>
          <w:rFonts w:ascii="Arial" w:eastAsiaTheme="minorEastAsia" w:hAnsi="Arial" w:cs="Arial"/>
          <w:b/>
          <w:sz w:val="24"/>
          <w:szCs w:val="24"/>
          <w:lang w:eastAsia="zh-CN"/>
        </w:rPr>
        <w:t>November 01-12,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7FCD9D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F377F">
        <w:rPr>
          <w:rFonts w:ascii="Arial" w:eastAsia="MS Mincho" w:hAnsi="Arial" w:cs="Arial"/>
          <w:color w:val="000000"/>
          <w:sz w:val="22"/>
        </w:rPr>
        <w:t>Spherical Coverage Requirement</w:t>
      </w:r>
      <w:r w:rsidR="00535DF9" w:rsidRPr="00535DF9">
        <w:rPr>
          <w:rFonts w:ascii="Arial" w:eastAsia="MS Mincho" w:hAnsi="Arial" w:cs="Arial"/>
          <w:color w:val="000000"/>
          <w:sz w:val="22"/>
        </w:rPr>
        <w:t xml:space="preserve"> for FR2 HST</w:t>
      </w:r>
      <w:r w:rsidR="00A62760">
        <w:rPr>
          <w:rFonts w:ascii="Arial" w:eastAsia="MS Mincho" w:hAnsi="Arial" w:cs="Arial"/>
          <w:color w:val="000000"/>
          <w:sz w:val="22"/>
        </w:rPr>
        <w:t xml:space="preserve"> </w:t>
      </w:r>
      <w:r w:rsidR="00F059BE">
        <w:rPr>
          <w:rFonts w:ascii="Arial" w:eastAsia="MS Mincho" w:hAnsi="Arial" w:cs="Arial"/>
          <w:color w:val="000000"/>
          <w:sz w:val="22"/>
        </w:rPr>
        <w:t>UE</w:t>
      </w:r>
    </w:p>
    <w:p w14:paraId="08CE26BB" w14:textId="160AF1B1"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059BE">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3E237E">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A62760">
        <w:rPr>
          <w:rFonts w:ascii="Arial" w:eastAsiaTheme="minorEastAsia" w:hAnsi="Arial" w:cs="Arial"/>
          <w:color w:val="000000"/>
          <w:sz w:val="22"/>
          <w:lang w:eastAsia="zh-CN"/>
        </w:rPr>
        <w:t>.</w:t>
      </w:r>
      <w:r w:rsidR="003E237E">
        <w:rPr>
          <w:rFonts w:ascii="Arial" w:eastAsiaTheme="minorEastAsia" w:hAnsi="Arial" w:cs="Arial"/>
          <w:color w:val="000000"/>
          <w:sz w:val="22"/>
          <w:lang w:eastAsia="zh-CN"/>
        </w:rPr>
        <w:t>1</w:t>
      </w:r>
      <w:r w:rsidR="00CF377F">
        <w:rPr>
          <w:rFonts w:ascii="Arial" w:eastAsiaTheme="minorEastAsia" w:hAnsi="Arial" w:cs="Arial"/>
          <w:color w:val="000000"/>
          <w:sz w:val="22"/>
          <w:lang w:eastAsia="zh-CN"/>
        </w:rPr>
        <w:t>.2</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3371F797"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for HST scenarios in FR2 has been </w:t>
      </w:r>
      <w:r w:rsidR="00A27977">
        <w:rPr>
          <w:rFonts w:asciiTheme="minorHAnsi" w:hAnsiTheme="minorHAnsi" w:cstheme="minorHAnsi"/>
          <w:lang w:eastAsia="zh-CN"/>
        </w:rPr>
        <w:t xml:space="preserve">further </w:t>
      </w:r>
      <w:r w:rsidR="00DF59D6">
        <w:rPr>
          <w:rFonts w:asciiTheme="minorHAnsi" w:hAnsiTheme="minorHAnsi" w:cstheme="minorHAnsi"/>
          <w:lang w:eastAsia="zh-CN"/>
        </w:rPr>
        <w:t>discuss</w:t>
      </w:r>
      <w:r w:rsidR="00F059BE">
        <w:rPr>
          <w:rFonts w:asciiTheme="minorHAnsi" w:hAnsiTheme="minorHAnsi" w:cstheme="minorHAnsi"/>
          <w:lang w:eastAsia="zh-CN"/>
        </w:rPr>
        <w:t>ed in last RAN4 meeting (RAN4#100</w:t>
      </w:r>
      <w:r w:rsidR="00DF59D6">
        <w:rPr>
          <w:rFonts w:asciiTheme="minorHAnsi" w:hAnsiTheme="minorHAnsi" w:cstheme="minorHAnsi"/>
          <w:lang w:eastAsia="zh-CN"/>
        </w:rPr>
        <w:t>-e),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 [</w:t>
      </w:r>
      <w:r w:rsidR="00F059BE">
        <w:rPr>
          <w:rFonts w:asciiTheme="minorHAnsi" w:hAnsiTheme="minorHAnsi" w:cstheme="minorHAnsi"/>
        </w:rPr>
        <w:t>9</w:t>
      </w:r>
      <w:r w:rsidR="007318A1">
        <w:rPr>
          <w:rFonts w:asciiTheme="minorHAnsi" w:hAnsiTheme="minorHAnsi" w:cstheme="minorHAnsi"/>
        </w:rPr>
        <w:t xml:space="preserve">, </w:t>
      </w:r>
      <w:r w:rsidR="00285A44" w:rsidRPr="00285A44">
        <w:rPr>
          <w:rFonts w:asciiTheme="minorHAnsi" w:hAnsiTheme="minorHAnsi" w:cstheme="minorHAnsi"/>
        </w:rPr>
        <w:t>R4-21</w:t>
      </w:r>
      <w:r w:rsidR="00F059BE">
        <w:rPr>
          <w:rFonts w:asciiTheme="minorHAnsi" w:hAnsiTheme="minorHAnsi" w:cstheme="minorHAnsi"/>
        </w:rPr>
        <w:t>14976</w:t>
      </w:r>
      <w:r w:rsidR="007318A1">
        <w:rPr>
          <w:rFonts w:asciiTheme="minorHAnsi" w:hAnsiTheme="minorHAnsi" w:cstheme="minorHAnsi"/>
        </w:rPr>
        <w:t>]</w:t>
      </w:r>
      <w:r w:rsidR="00F059BE">
        <w:rPr>
          <w:rFonts w:asciiTheme="minorHAnsi" w:hAnsiTheme="minorHAnsi" w:cstheme="minorHAnsi"/>
        </w:rPr>
        <w:t xml:space="preserve"> on UE </w:t>
      </w:r>
      <w:r w:rsidR="00CF377F">
        <w:rPr>
          <w:rFonts w:asciiTheme="minorHAnsi" w:hAnsiTheme="minorHAnsi" w:cstheme="minorHAnsi"/>
        </w:rPr>
        <w:t>spherical coverage requirement, including the requirement framework and detailed requirements</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CF377F" w14:paraId="14B8AA16" w14:textId="77777777" w:rsidTr="00CF377F">
        <w:trPr>
          <w:trHeight w:val="4520"/>
        </w:trPr>
        <w:tc>
          <w:tcPr>
            <w:tcW w:w="8646" w:type="dxa"/>
          </w:tcPr>
          <w:p w14:paraId="58792263" w14:textId="77777777" w:rsidR="00CF377F" w:rsidRPr="00CF377F" w:rsidRDefault="00CF377F" w:rsidP="00CF377F">
            <w:pPr>
              <w:pStyle w:val="ListParagraph"/>
              <w:widowControl w:val="0"/>
              <w:numPr>
                <w:ilvl w:val="0"/>
                <w:numId w:val="2"/>
              </w:numPr>
              <w:overflowPunct/>
              <w:autoSpaceDE/>
              <w:autoSpaceDN/>
              <w:adjustRightInd/>
              <w:spacing w:after="0"/>
              <w:ind w:firstLineChars="0"/>
              <w:jc w:val="both"/>
              <w:textAlignment w:val="bottom"/>
              <w:rPr>
                <w:bCs/>
                <w:sz w:val="18"/>
              </w:rPr>
            </w:pPr>
            <w:r w:rsidRPr="00CF377F">
              <w:rPr>
                <w:bCs/>
                <w:sz w:val="18"/>
              </w:rPr>
              <w:t>WF2: Spherical Coverage</w:t>
            </w:r>
          </w:p>
          <w:p w14:paraId="3A291DE3" w14:textId="77777777" w:rsidR="00CF377F" w:rsidRPr="00CF377F" w:rsidRDefault="00CF377F" w:rsidP="00CF377F">
            <w:pPr>
              <w:pStyle w:val="ListParagraph"/>
              <w:widowControl w:val="0"/>
              <w:numPr>
                <w:ilvl w:val="1"/>
                <w:numId w:val="2"/>
              </w:numPr>
              <w:overflowPunct/>
              <w:autoSpaceDE/>
              <w:autoSpaceDN/>
              <w:adjustRightInd/>
              <w:spacing w:after="0"/>
              <w:ind w:firstLineChars="0"/>
              <w:jc w:val="both"/>
              <w:textAlignment w:val="bottom"/>
              <w:rPr>
                <w:bCs/>
                <w:sz w:val="18"/>
                <w:u w:val="single"/>
              </w:rPr>
            </w:pPr>
            <w:r w:rsidRPr="00CF377F">
              <w:rPr>
                <w:bCs/>
                <w:sz w:val="18"/>
                <w:u w:val="single"/>
              </w:rPr>
              <w:t>Issue 2-2-1: Spherical coverage requirement framework</w:t>
            </w:r>
          </w:p>
          <w:p w14:paraId="566C52D9" w14:textId="77777777" w:rsidR="00CF377F" w:rsidRPr="00CF377F" w:rsidRDefault="00CF377F" w:rsidP="00CF377F">
            <w:pPr>
              <w:pStyle w:val="ListParagraph"/>
              <w:widowControl w:val="0"/>
              <w:numPr>
                <w:ilvl w:val="2"/>
                <w:numId w:val="2"/>
              </w:numPr>
              <w:overflowPunct/>
              <w:autoSpaceDE/>
              <w:autoSpaceDN/>
              <w:adjustRightInd/>
              <w:spacing w:after="0"/>
              <w:ind w:firstLineChars="0"/>
              <w:jc w:val="both"/>
              <w:textAlignment w:val="bottom"/>
              <w:rPr>
                <w:bCs/>
                <w:sz w:val="18"/>
              </w:rPr>
            </w:pPr>
            <w:r w:rsidRPr="00CF377F">
              <w:rPr>
                <w:bCs/>
                <w:sz w:val="18"/>
              </w:rPr>
              <w:t>[Background] Candidate options are discussed during GTW session on Aug 25th:</w:t>
            </w:r>
          </w:p>
          <w:p w14:paraId="14B33051" w14:textId="77777777" w:rsidR="00CF377F" w:rsidRPr="00CF377F" w:rsidRDefault="00CF377F" w:rsidP="00CF377F">
            <w:pPr>
              <w:pStyle w:val="ListParagraph"/>
              <w:widowControl w:val="0"/>
              <w:numPr>
                <w:ilvl w:val="3"/>
                <w:numId w:val="2"/>
              </w:numPr>
              <w:overflowPunct/>
              <w:autoSpaceDE/>
              <w:autoSpaceDN/>
              <w:adjustRightInd/>
              <w:spacing w:after="0"/>
              <w:ind w:firstLineChars="0"/>
              <w:jc w:val="both"/>
              <w:textAlignment w:val="bottom"/>
              <w:rPr>
                <w:bCs/>
                <w:sz w:val="18"/>
              </w:rPr>
            </w:pPr>
            <w:r w:rsidRPr="00CF377F">
              <w:rPr>
                <w:bCs/>
                <w:sz w:val="18"/>
              </w:rPr>
              <w:t xml:space="preserve">Spherical coverage requirement framework for FR2 HST UE: </w:t>
            </w:r>
          </w:p>
          <w:p w14:paraId="395152F7"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Option-1: Still follow Rel-15 NR spherical coverage requirement framework</w:t>
            </w:r>
          </w:p>
          <w:p w14:paraId="7FE8A8C4"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Option-2: Specify the spherical coverage for FR2 HST in terms of theta and phi range w.r.t. boresight direction.</w:t>
            </w:r>
          </w:p>
          <w:p w14:paraId="1B9F5BA5" w14:textId="77777777" w:rsidR="00CF377F" w:rsidRPr="00CF377F" w:rsidRDefault="00CF377F" w:rsidP="00CF377F">
            <w:pPr>
              <w:pStyle w:val="ListParagraph"/>
              <w:widowControl w:val="0"/>
              <w:numPr>
                <w:ilvl w:val="2"/>
                <w:numId w:val="2"/>
              </w:numPr>
              <w:overflowPunct/>
              <w:autoSpaceDE/>
              <w:autoSpaceDN/>
              <w:adjustRightInd/>
              <w:spacing w:after="0"/>
              <w:ind w:firstLineChars="0"/>
              <w:jc w:val="both"/>
              <w:textAlignment w:val="bottom"/>
              <w:rPr>
                <w:bCs/>
                <w:sz w:val="18"/>
              </w:rPr>
            </w:pPr>
            <w:r w:rsidRPr="00CF377F">
              <w:rPr>
                <w:bCs/>
                <w:sz w:val="18"/>
              </w:rPr>
              <w:t xml:space="preserve">Note: The following agreement is achieved in GTW session on Aug 25th. </w:t>
            </w:r>
          </w:p>
          <w:p w14:paraId="4B8B86E8" w14:textId="77777777" w:rsidR="00CF377F" w:rsidRPr="00CF377F" w:rsidRDefault="00CF377F" w:rsidP="00CF377F">
            <w:pPr>
              <w:pStyle w:val="ListParagraph"/>
              <w:widowControl w:val="0"/>
              <w:numPr>
                <w:ilvl w:val="2"/>
                <w:numId w:val="2"/>
              </w:numPr>
              <w:overflowPunct/>
              <w:autoSpaceDE/>
              <w:autoSpaceDN/>
              <w:adjustRightInd/>
              <w:spacing w:after="0"/>
              <w:ind w:firstLineChars="0"/>
              <w:jc w:val="both"/>
              <w:textAlignment w:val="bottom"/>
              <w:rPr>
                <w:bCs/>
                <w:sz w:val="18"/>
                <w:highlight w:val="green"/>
              </w:rPr>
            </w:pPr>
            <w:r w:rsidRPr="00CF377F">
              <w:rPr>
                <w:bCs/>
                <w:sz w:val="18"/>
                <w:highlight w:val="green"/>
              </w:rPr>
              <w:t xml:space="preserve">Agreement (GTW Aug 25th): </w:t>
            </w:r>
          </w:p>
          <w:p w14:paraId="42C35470" w14:textId="77777777" w:rsidR="00CF377F" w:rsidRPr="00CF377F" w:rsidRDefault="00CF377F" w:rsidP="00CF377F">
            <w:pPr>
              <w:pStyle w:val="ListParagraph"/>
              <w:widowControl w:val="0"/>
              <w:numPr>
                <w:ilvl w:val="3"/>
                <w:numId w:val="2"/>
              </w:numPr>
              <w:overflowPunct/>
              <w:autoSpaceDE/>
              <w:autoSpaceDN/>
              <w:adjustRightInd/>
              <w:spacing w:after="0"/>
              <w:ind w:firstLineChars="0"/>
              <w:jc w:val="both"/>
              <w:textAlignment w:val="bottom"/>
              <w:rPr>
                <w:bCs/>
                <w:sz w:val="18"/>
              </w:rPr>
            </w:pPr>
            <w:r w:rsidRPr="00CF377F">
              <w:rPr>
                <w:bCs/>
                <w:sz w:val="18"/>
              </w:rPr>
              <w:t>For spherical coverage requirement framework, specify the spherical coverage for FR2 HST in terms of theta and phi range w.r.t. boresight direction.</w:t>
            </w:r>
          </w:p>
          <w:p w14:paraId="5A8B2494"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Further discussion on theta and phi value</w:t>
            </w:r>
          </w:p>
          <w:p w14:paraId="27071E14"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UE should meet EIPR requirement for 100% percentage of test points within the theta and phi range with some tolerances</w:t>
            </w:r>
          </w:p>
          <w:p w14:paraId="5719B6B6"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If the problem is identified, go back to option 1.</w:t>
            </w:r>
          </w:p>
          <w:p w14:paraId="10834EF8" w14:textId="77777777" w:rsidR="00CF377F" w:rsidRPr="00CF377F" w:rsidRDefault="00CF377F" w:rsidP="00CF377F">
            <w:pPr>
              <w:pStyle w:val="ListParagraph"/>
              <w:widowControl w:val="0"/>
              <w:numPr>
                <w:ilvl w:val="1"/>
                <w:numId w:val="2"/>
              </w:numPr>
              <w:overflowPunct/>
              <w:autoSpaceDE/>
              <w:autoSpaceDN/>
              <w:adjustRightInd/>
              <w:spacing w:after="0"/>
              <w:ind w:firstLineChars="0"/>
              <w:jc w:val="both"/>
              <w:textAlignment w:val="bottom"/>
              <w:rPr>
                <w:bCs/>
                <w:sz w:val="18"/>
                <w:u w:val="single"/>
              </w:rPr>
            </w:pPr>
            <w:r w:rsidRPr="00CF377F">
              <w:rPr>
                <w:bCs/>
                <w:sz w:val="18"/>
                <w:u w:val="single"/>
              </w:rPr>
              <w:t>Issue 2-2-3: Spherical coverage requirement (EIRP drop)</w:t>
            </w:r>
          </w:p>
          <w:p w14:paraId="18793452" w14:textId="77777777" w:rsidR="00CF377F" w:rsidRPr="00CF377F" w:rsidRDefault="00CF377F" w:rsidP="00CF377F">
            <w:pPr>
              <w:pStyle w:val="ListParagraph"/>
              <w:widowControl w:val="0"/>
              <w:numPr>
                <w:ilvl w:val="2"/>
                <w:numId w:val="2"/>
              </w:numPr>
              <w:overflowPunct/>
              <w:autoSpaceDE/>
              <w:autoSpaceDN/>
              <w:adjustRightInd/>
              <w:spacing w:after="0"/>
              <w:ind w:firstLineChars="0"/>
              <w:jc w:val="both"/>
              <w:textAlignment w:val="bottom"/>
              <w:rPr>
                <w:bCs/>
                <w:sz w:val="18"/>
                <w:highlight w:val="green"/>
              </w:rPr>
            </w:pPr>
            <w:r w:rsidRPr="00CF377F">
              <w:rPr>
                <w:bCs/>
                <w:sz w:val="18"/>
                <w:highlight w:val="green"/>
              </w:rPr>
              <w:t>Agreement achieved in this WF:</w:t>
            </w:r>
          </w:p>
          <w:p w14:paraId="7CD8F86A" w14:textId="77777777" w:rsidR="00CF377F" w:rsidRPr="00CF377F" w:rsidRDefault="00CF377F" w:rsidP="00CF377F">
            <w:pPr>
              <w:pStyle w:val="ListParagraph"/>
              <w:widowControl w:val="0"/>
              <w:numPr>
                <w:ilvl w:val="3"/>
                <w:numId w:val="2"/>
              </w:numPr>
              <w:overflowPunct/>
              <w:autoSpaceDE/>
              <w:autoSpaceDN/>
              <w:adjustRightInd/>
              <w:spacing w:after="0"/>
              <w:ind w:firstLineChars="0"/>
              <w:jc w:val="both"/>
              <w:textAlignment w:val="bottom"/>
              <w:rPr>
                <w:bCs/>
                <w:sz w:val="18"/>
              </w:rPr>
            </w:pPr>
            <w:r w:rsidRPr="00CF377F">
              <w:rPr>
                <w:bCs/>
                <w:sz w:val="18"/>
              </w:rPr>
              <w:t>Candidate methods to decide EIRP drop:</w:t>
            </w:r>
          </w:p>
          <w:p w14:paraId="2ABEF76A"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 xml:space="preserve">Option 1: </w:t>
            </w:r>
          </w:p>
          <w:p w14:paraId="7B266F8D" w14:textId="77777777" w:rsidR="00CF377F" w:rsidRPr="00CF377F" w:rsidRDefault="00CF377F" w:rsidP="00CF377F">
            <w:pPr>
              <w:pStyle w:val="ListParagraph"/>
              <w:widowControl w:val="0"/>
              <w:numPr>
                <w:ilvl w:val="5"/>
                <w:numId w:val="2"/>
              </w:numPr>
              <w:overflowPunct/>
              <w:autoSpaceDE/>
              <w:autoSpaceDN/>
              <w:adjustRightInd/>
              <w:spacing w:after="0"/>
              <w:ind w:firstLineChars="0"/>
              <w:jc w:val="both"/>
              <w:textAlignment w:val="bottom"/>
              <w:rPr>
                <w:bCs/>
                <w:sz w:val="18"/>
              </w:rPr>
            </w:pPr>
            <w:r w:rsidRPr="00CF377F">
              <w:rPr>
                <w:bCs/>
                <w:sz w:val="18"/>
              </w:rPr>
              <w:t>Set EIRP drop requirement to keep received power at gNB stable.</w:t>
            </w:r>
          </w:p>
          <w:p w14:paraId="143D74DB" w14:textId="50050E98" w:rsidR="00957239"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Other option not precluded.</w:t>
            </w:r>
          </w:p>
        </w:tc>
      </w:tr>
    </w:tbl>
    <w:p w14:paraId="62EB947B" w14:textId="63CF2BCE" w:rsidR="006A2715" w:rsidRDefault="00285A44"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 w</w:t>
      </w:r>
      <w:r w:rsidR="0010639C">
        <w:rPr>
          <w:rFonts w:asciiTheme="minorHAnsi" w:hAnsiTheme="minorHAnsi" w:cstheme="minorHAnsi"/>
          <w:color w:val="000000"/>
          <w:lang w:eastAsia="zh-CN"/>
        </w:rPr>
        <w:t>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sidR="00CF377F">
        <w:rPr>
          <w:rFonts w:asciiTheme="minorHAnsi" w:hAnsiTheme="minorHAnsi" w:cstheme="minorHAnsi"/>
          <w:color w:val="000000"/>
          <w:lang w:eastAsia="zh-CN"/>
        </w:rPr>
        <w:t>spherical coverage requirement</w:t>
      </w:r>
      <w:r w:rsidR="00F059BE" w:rsidRPr="00F059BE">
        <w:rPr>
          <w:rFonts w:asciiTheme="minorHAnsi" w:hAnsiTheme="minorHAnsi" w:cstheme="minorHAnsi"/>
          <w:color w:val="000000"/>
          <w:lang w:eastAsia="zh-CN"/>
        </w:rPr>
        <w:t xml:space="preserve"> for FR2 HST UE</w:t>
      </w:r>
      <w:r w:rsidR="003C48EC">
        <w:rPr>
          <w:rFonts w:asciiTheme="minorHAnsi" w:hAnsiTheme="minorHAnsi" w:cstheme="minorHAnsi"/>
          <w:color w:val="000000"/>
          <w:lang w:eastAsia="zh-CN"/>
        </w:rPr>
        <w:t xml:space="preserve"> in this contribution</w:t>
      </w:r>
      <w:r w:rsidR="00F96B02">
        <w:rPr>
          <w:rFonts w:asciiTheme="minorHAnsi" w:hAnsiTheme="minorHAnsi" w:cstheme="minorHAnsi"/>
          <w:color w:val="000000"/>
          <w:lang w:eastAsia="zh-CN"/>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31A21EB2" w14:textId="77777777" w:rsidR="00DE2147" w:rsidRDefault="00DE2147" w:rsidP="00DE2147">
      <w:pPr>
        <w:rPr>
          <w:rFonts w:asciiTheme="minorHAnsi" w:hAnsiTheme="minorHAnsi" w:cstheme="minorHAnsi"/>
          <w:lang w:val="en-US" w:eastAsia="zh-CN"/>
        </w:rPr>
      </w:pPr>
      <w:r w:rsidRPr="00746477">
        <w:rPr>
          <w:rFonts w:asciiTheme="minorHAnsi" w:hAnsiTheme="minorHAnsi" w:cstheme="minorHAnsi"/>
          <w:lang w:val="en-US" w:eastAsia="zh-CN"/>
        </w:rPr>
        <w:t xml:space="preserve">In last RAN4 meeting, </w:t>
      </w:r>
      <w:r>
        <w:rPr>
          <w:rFonts w:asciiTheme="minorHAnsi" w:hAnsiTheme="minorHAnsi" w:cstheme="minorHAnsi"/>
          <w:lang w:val="en-US" w:eastAsia="zh-CN"/>
        </w:rPr>
        <w:t xml:space="preserve">it is still </w:t>
      </w:r>
      <w:r w:rsidRPr="00837BD1">
        <w:rPr>
          <w:rFonts w:asciiTheme="minorHAnsi" w:hAnsiTheme="minorHAnsi" w:cstheme="minorHAnsi"/>
          <w:lang w:val="en-US" w:eastAsia="zh-CN"/>
        </w:rPr>
        <w:t>not decide that different RF requirement for Scenario-A and B</w:t>
      </w:r>
      <w:r w:rsidRPr="00746477">
        <w:rPr>
          <w:rFonts w:asciiTheme="minorHAnsi" w:hAnsiTheme="minorHAnsi" w:cstheme="minorHAnsi"/>
          <w:lang w:val="en-US" w:eastAsia="zh-CN"/>
        </w:rPr>
        <w:t xml:space="preserve">. </w:t>
      </w:r>
      <w:r>
        <w:rPr>
          <w:rFonts w:asciiTheme="minorHAnsi" w:hAnsiTheme="minorHAnsi" w:cstheme="minorHAnsi"/>
          <w:lang w:val="en-US" w:eastAsia="zh-CN"/>
        </w:rPr>
        <w:t xml:space="preserve">Based on previous RAN4 discussion on FR2 HST deployment study, it is identified that the number of beams per RRH and per UE will be quite different for Scenario A and Scenario-B, with the conclusion summarized as below: </w:t>
      </w:r>
    </w:p>
    <w:p w14:paraId="338060D1" w14:textId="77777777" w:rsidR="00DE2147" w:rsidRDefault="00DE2147" w:rsidP="00DE2147">
      <w:pPr>
        <w:jc w:val="center"/>
        <w:rPr>
          <w:rFonts w:asciiTheme="minorHAnsi" w:hAnsiTheme="minorHAnsi" w:cstheme="minorHAnsi"/>
          <w:lang w:val="en-US" w:eastAsia="zh-CN"/>
        </w:rPr>
      </w:pPr>
      <w:r>
        <w:rPr>
          <w:rFonts w:asciiTheme="minorHAnsi" w:hAnsiTheme="minorHAnsi" w:cstheme="minorHAnsi"/>
          <w:lang w:val="en-US" w:eastAsia="zh-CN"/>
        </w:rPr>
        <w:t>Table 1 Summary of Beam Number from FR2 HST Deployment Study</w:t>
      </w:r>
    </w:p>
    <w:tbl>
      <w:tblPr>
        <w:tblW w:w="9639" w:type="dxa"/>
        <w:tblCellMar>
          <w:left w:w="0" w:type="dxa"/>
          <w:right w:w="0" w:type="dxa"/>
        </w:tblCellMar>
        <w:tblLook w:val="04A0" w:firstRow="1" w:lastRow="0" w:firstColumn="1" w:lastColumn="0" w:noHBand="0" w:noVBand="1"/>
      </w:tblPr>
      <w:tblGrid>
        <w:gridCol w:w="800"/>
        <w:gridCol w:w="1752"/>
        <w:gridCol w:w="3118"/>
        <w:gridCol w:w="3969"/>
      </w:tblGrid>
      <w:tr w:rsidR="00DE2147" w:rsidRPr="00837BD1" w14:paraId="3D4C5F07" w14:textId="77777777" w:rsidTr="00813EA9">
        <w:trPr>
          <w:trHeight w:val="20"/>
        </w:trPr>
        <w:tc>
          <w:tcPr>
            <w:tcW w:w="800"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hideMark/>
          </w:tcPr>
          <w:p w14:paraId="5F0EF6B5" w14:textId="77777777" w:rsidR="00DE2147" w:rsidRPr="00837BD1" w:rsidRDefault="00DE2147" w:rsidP="00813EA9">
            <w:pPr>
              <w:spacing w:after="0"/>
              <w:rPr>
                <w:rFonts w:asciiTheme="minorHAnsi" w:hAnsiTheme="minorHAnsi" w:cstheme="minorHAnsi"/>
              </w:rPr>
            </w:pPr>
          </w:p>
        </w:tc>
        <w:tc>
          <w:tcPr>
            <w:tcW w:w="1752"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hideMark/>
          </w:tcPr>
          <w:p w14:paraId="5C1B7437" w14:textId="77777777" w:rsidR="00DE2147" w:rsidRPr="00837BD1" w:rsidRDefault="00DE2147" w:rsidP="00813EA9">
            <w:pPr>
              <w:spacing w:after="0"/>
              <w:rPr>
                <w:rFonts w:asciiTheme="minorHAnsi" w:hAnsiTheme="minorHAnsi" w:cstheme="minorHAnsi"/>
              </w:rPr>
            </w:pPr>
          </w:p>
        </w:tc>
        <w:tc>
          <w:tcPr>
            <w:tcW w:w="3118"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hideMark/>
          </w:tcPr>
          <w:p w14:paraId="2446427D"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b/>
                <w:bCs/>
              </w:rPr>
              <w:t># of Beams per RRH</w:t>
            </w:r>
          </w:p>
        </w:tc>
        <w:tc>
          <w:tcPr>
            <w:tcW w:w="3969"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hideMark/>
          </w:tcPr>
          <w:p w14:paraId="36718D74"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b/>
                <w:bCs/>
              </w:rPr>
              <w:t># of Beams per UE</w:t>
            </w:r>
          </w:p>
        </w:tc>
      </w:tr>
      <w:tr w:rsidR="00DE2147" w:rsidRPr="00837BD1" w14:paraId="239C01CA" w14:textId="77777777" w:rsidTr="00813EA9">
        <w:trPr>
          <w:trHeight w:val="20"/>
        </w:trPr>
        <w:tc>
          <w:tcPr>
            <w:tcW w:w="800" w:type="dxa"/>
            <w:vMerge w:val="restart"/>
            <w:tcBorders>
              <w:top w:val="single" w:sz="8" w:space="0" w:color="A5A5A5"/>
              <w:left w:val="nil"/>
              <w:bottom w:val="nil"/>
              <w:right w:val="nil"/>
            </w:tcBorders>
            <w:shd w:val="clear" w:color="auto" w:fill="F0F0F0"/>
            <w:tcMar>
              <w:top w:w="72" w:type="dxa"/>
              <w:left w:w="144" w:type="dxa"/>
              <w:bottom w:w="72" w:type="dxa"/>
              <w:right w:w="144" w:type="dxa"/>
            </w:tcMar>
            <w:vAlign w:val="center"/>
            <w:hideMark/>
          </w:tcPr>
          <w:p w14:paraId="35E658C0"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b/>
                <w:bCs/>
              </w:rPr>
              <w:t>Scn-A</w:t>
            </w:r>
          </w:p>
        </w:tc>
        <w:tc>
          <w:tcPr>
            <w:tcW w:w="1752" w:type="dxa"/>
            <w:tcBorders>
              <w:top w:val="single" w:sz="8" w:space="0" w:color="A5A5A5"/>
              <w:left w:val="nil"/>
              <w:bottom w:val="nil"/>
              <w:right w:val="nil"/>
            </w:tcBorders>
            <w:shd w:val="clear" w:color="auto" w:fill="F0F0F0"/>
            <w:tcMar>
              <w:top w:w="72" w:type="dxa"/>
              <w:left w:w="144" w:type="dxa"/>
              <w:bottom w:w="72" w:type="dxa"/>
              <w:right w:w="144" w:type="dxa"/>
            </w:tcMar>
            <w:vAlign w:val="center"/>
            <w:hideMark/>
          </w:tcPr>
          <w:p w14:paraId="60E782FB"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Uni-directional</w:t>
            </w:r>
          </w:p>
        </w:tc>
        <w:tc>
          <w:tcPr>
            <w:tcW w:w="3118" w:type="dxa"/>
            <w:tcBorders>
              <w:top w:val="single" w:sz="8" w:space="0" w:color="A5A5A5"/>
              <w:left w:val="nil"/>
              <w:bottom w:val="nil"/>
              <w:right w:val="nil"/>
            </w:tcBorders>
            <w:shd w:val="clear" w:color="auto" w:fill="F0F0F0"/>
            <w:tcMar>
              <w:top w:w="72" w:type="dxa"/>
              <w:left w:w="144" w:type="dxa"/>
              <w:bottom w:w="72" w:type="dxa"/>
              <w:right w:w="144" w:type="dxa"/>
            </w:tcMar>
            <w:vAlign w:val="center"/>
            <w:hideMark/>
          </w:tcPr>
          <w:p w14:paraId="2C98D118"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(1 panel per RRH site)</w:t>
            </w:r>
          </w:p>
        </w:tc>
        <w:tc>
          <w:tcPr>
            <w:tcW w:w="3969" w:type="dxa"/>
            <w:tcBorders>
              <w:top w:val="single" w:sz="8" w:space="0" w:color="A5A5A5"/>
              <w:left w:val="nil"/>
              <w:bottom w:val="nil"/>
              <w:right w:val="nil"/>
            </w:tcBorders>
            <w:shd w:val="clear" w:color="auto" w:fill="F0F0F0"/>
            <w:tcMar>
              <w:top w:w="72" w:type="dxa"/>
              <w:left w:w="144" w:type="dxa"/>
              <w:bottom w:w="72" w:type="dxa"/>
              <w:right w:w="144" w:type="dxa"/>
            </w:tcMar>
            <w:vAlign w:val="center"/>
            <w:hideMark/>
          </w:tcPr>
          <w:p w14:paraId="7D9A4D7F"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(1 active panel, 2 panels implemented)</w:t>
            </w:r>
          </w:p>
        </w:tc>
      </w:tr>
      <w:tr w:rsidR="00DE2147" w:rsidRPr="00837BD1" w14:paraId="1EED7F5C" w14:textId="77777777" w:rsidTr="00813EA9">
        <w:trPr>
          <w:trHeight w:val="20"/>
        </w:trPr>
        <w:tc>
          <w:tcPr>
            <w:tcW w:w="0" w:type="auto"/>
            <w:vMerge/>
            <w:tcBorders>
              <w:top w:val="single" w:sz="8" w:space="0" w:color="A5A5A5"/>
              <w:left w:val="nil"/>
              <w:bottom w:val="nil"/>
              <w:right w:val="nil"/>
            </w:tcBorders>
            <w:vAlign w:val="center"/>
            <w:hideMark/>
          </w:tcPr>
          <w:p w14:paraId="32FD7794" w14:textId="77777777" w:rsidR="00DE2147" w:rsidRPr="00837BD1" w:rsidRDefault="00DE2147" w:rsidP="00813EA9">
            <w:pPr>
              <w:spacing w:after="0"/>
              <w:rPr>
                <w:rFonts w:asciiTheme="minorHAnsi" w:hAnsiTheme="minorHAnsi" w:cstheme="minorHAnsi"/>
              </w:rPr>
            </w:pPr>
          </w:p>
        </w:tc>
        <w:tc>
          <w:tcPr>
            <w:tcW w:w="1752" w:type="dxa"/>
            <w:tcBorders>
              <w:top w:val="nil"/>
              <w:left w:val="nil"/>
              <w:bottom w:val="nil"/>
              <w:right w:val="nil"/>
            </w:tcBorders>
            <w:shd w:val="clear" w:color="auto" w:fill="auto"/>
            <w:tcMar>
              <w:top w:w="72" w:type="dxa"/>
              <w:left w:w="144" w:type="dxa"/>
              <w:bottom w:w="72" w:type="dxa"/>
              <w:right w:w="144" w:type="dxa"/>
            </w:tcMar>
            <w:vAlign w:val="center"/>
            <w:hideMark/>
          </w:tcPr>
          <w:p w14:paraId="40E13066"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Bi-directional</w:t>
            </w:r>
          </w:p>
        </w:tc>
        <w:tc>
          <w:tcPr>
            <w:tcW w:w="3118" w:type="dxa"/>
            <w:tcBorders>
              <w:top w:val="nil"/>
              <w:left w:val="nil"/>
              <w:bottom w:val="nil"/>
              <w:right w:val="nil"/>
            </w:tcBorders>
            <w:shd w:val="clear" w:color="auto" w:fill="auto"/>
            <w:tcMar>
              <w:top w:w="72" w:type="dxa"/>
              <w:left w:w="144" w:type="dxa"/>
              <w:bottom w:w="72" w:type="dxa"/>
              <w:right w:w="144" w:type="dxa"/>
            </w:tcMar>
            <w:vAlign w:val="center"/>
            <w:hideMark/>
          </w:tcPr>
          <w:p w14:paraId="1A0A8569"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(2 opposite panels per RRH site)</w:t>
            </w:r>
          </w:p>
        </w:tc>
        <w:tc>
          <w:tcPr>
            <w:tcW w:w="3969" w:type="dxa"/>
            <w:tcBorders>
              <w:top w:val="nil"/>
              <w:left w:val="nil"/>
              <w:bottom w:val="nil"/>
              <w:right w:val="nil"/>
            </w:tcBorders>
            <w:shd w:val="clear" w:color="auto" w:fill="auto"/>
            <w:tcMar>
              <w:top w:w="72" w:type="dxa"/>
              <w:left w:w="144" w:type="dxa"/>
              <w:bottom w:w="72" w:type="dxa"/>
              <w:right w:w="144" w:type="dxa"/>
            </w:tcMar>
            <w:vAlign w:val="center"/>
            <w:hideMark/>
          </w:tcPr>
          <w:p w14:paraId="20ACC425"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(2 panels per UE)</w:t>
            </w:r>
          </w:p>
        </w:tc>
      </w:tr>
      <w:tr w:rsidR="00DE2147" w:rsidRPr="00837BD1" w14:paraId="189D4F09" w14:textId="77777777" w:rsidTr="00813EA9">
        <w:trPr>
          <w:trHeight w:val="20"/>
        </w:trPr>
        <w:tc>
          <w:tcPr>
            <w:tcW w:w="800" w:type="dxa"/>
            <w:vMerge w:val="restart"/>
            <w:tcBorders>
              <w:top w:val="nil"/>
              <w:left w:val="nil"/>
              <w:bottom w:val="nil"/>
              <w:right w:val="nil"/>
            </w:tcBorders>
            <w:shd w:val="clear" w:color="auto" w:fill="F0F0F0"/>
            <w:tcMar>
              <w:top w:w="72" w:type="dxa"/>
              <w:left w:w="144" w:type="dxa"/>
              <w:bottom w:w="72" w:type="dxa"/>
              <w:right w:w="144" w:type="dxa"/>
            </w:tcMar>
            <w:vAlign w:val="center"/>
            <w:hideMark/>
          </w:tcPr>
          <w:p w14:paraId="183B9D94"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b/>
                <w:bCs/>
              </w:rPr>
              <w:lastRenderedPageBreak/>
              <w:t>Scn-B</w:t>
            </w:r>
          </w:p>
        </w:tc>
        <w:tc>
          <w:tcPr>
            <w:tcW w:w="1752" w:type="dxa"/>
            <w:tcBorders>
              <w:top w:val="nil"/>
              <w:left w:val="nil"/>
              <w:bottom w:val="nil"/>
              <w:right w:val="nil"/>
            </w:tcBorders>
            <w:shd w:val="clear" w:color="auto" w:fill="F0F0F0"/>
            <w:tcMar>
              <w:top w:w="72" w:type="dxa"/>
              <w:left w:w="144" w:type="dxa"/>
              <w:bottom w:w="72" w:type="dxa"/>
              <w:right w:w="144" w:type="dxa"/>
            </w:tcMar>
            <w:vAlign w:val="center"/>
            <w:hideMark/>
          </w:tcPr>
          <w:p w14:paraId="4218F03C"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Uni-directional</w:t>
            </w:r>
          </w:p>
        </w:tc>
        <w:tc>
          <w:tcPr>
            <w:tcW w:w="3118" w:type="dxa"/>
            <w:tcBorders>
              <w:top w:val="nil"/>
              <w:left w:val="nil"/>
              <w:bottom w:val="nil"/>
              <w:right w:val="nil"/>
            </w:tcBorders>
            <w:shd w:val="clear" w:color="auto" w:fill="F0F0F0"/>
            <w:tcMar>
              <w:top w:w="72" w:type="dxa"/>
              <w:left w:w="144" w:type="dxa"/>
              <w:bottom w:w="72" w:type="dxa"/>
              <w:right w:w="144" w:type="dxa"/>
            </w:tcMar>
            <w:vAlign w:val="center"/>
            <w:hideMark/>
          </w:tcPr>
          <w:p w14:paraId="51C513D9"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 xml:space="preserve">2 beams/panel </w:t>
            </w:r>
            <w:r w:rsidRPr="00837BD1">
              <w:rPr>
                <w:rFonts w:asciiTheme="minorHAnsi" w:hAnsiTheme="minorHAnsi" w:cstheme="minorHAnsi" w:hint="eastAsia"/>
              </w:rPr>
              <w:br/>
              <w:t>(1 panel per RRH site)</w:t>
            </w:r>
          </w:p>
        </w:tc>
        <w:tc>
          <w:tcPr>
            <w:tcW w:w="3969" w:type="dxa"/>
            <w:tcBorders>
              <w:top w:val="nil"/>
              <w:left w:val="nil"/>
              <w:bottom w:val="nil"/>
              <w:right w:val="nil"/>
            </w:tcBorders>
            <w:shd w:val="clear" w:color="auto" w:fill="F0F0F0"/>
            <w:tcMar>
              <w:top w:w="72" w:type="dxa"/>
              <w:left w:w="144" w:type="dxa"/>
              <w:bottom w:w="72" w:type="dxa"/>
              <w:right w:w="144" w:type="dxa"/>
            </w:tcMar>
            <w:vAlign w:val="center"/>
            <w:hideMark/>
          </w:tcPr>
          <w:p w14:paraId="109754CF"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(1 active panel, 2 panels implemented)</w:t>
            </w:r>
          </w:p>
        </w:tc>
      </w:tr>
      <w:tr w:rsidR="00DE2147" w:rsidRPr="00837BD1" w14:paraId="13F31531" w14:textId="77777777" w:rsidTr="00813EA9">
        <w:trPr>
          <w:trHeight w:val="20"/>
        </w:trPr>
        <w:tc>
          <w:tcPr>
            <w:tcW w:w="0" w:type="auto"/>
            <w:vMerge/>
            <w:tcBorders>
              <w:top w:val="nil"/>
              <w:left w:val="nil"/>
              <w:bottom w:val="nil"/>
              <w:right w:val="nil"/>
            </w:tcBorders>
            <w:vAlign w:val="center"/>
            <w:hideMark/>
          </w:tcPr>
          <w:p w14:paraId="65EDCAD5" w14:textId="77777777" w:rsidR="00DE2147" w:rsidRPr="00837BD1" w:rsidRDefault="00DE2147" w:rsidP="00813EA9">
            <w:pPr>
              <w:spacing w:after="0"/>
              <w:rPr>
                <w:rFonts w:asciiTheme="minorHAnsi" w:hAnsiTheme="minorHAnsi" w:cstheme="minorHAnsi"/>
              </w:rPr>
            </w:pPr>
          </w:p>
        </w:tc>
        <w:tc>
          <w:tcPr>
            <w:tcW w:w="1752" w:type="dxa"/>
            <w:tcBorders>
              <w:top w:val="nil"/>
              <w:left w:val="nil"/>
              <w:bottom w:val="nil"/>
              <w:right w:val="nil"/>
            </w:tcBorders>
            <w:shd w:val="clear" w:color="auto" w:fill="auto"/>
            <w:tcMar>
              <w:top w:w="72" w:type="dxa"/>
              <w:left w:w="144" w:type="dxa"/>
              <w:bottom w:w="72" w:type="dxa"/>
              <w:right w:w="144" w:type="dxa"/>
            </w:tcMar>
            <w:vAlign w:val="center"/>
            <w:hideMark/>
          </w:tcPr>
          <w:p w14:paraId="6E8B40EA"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Bi-directional</w:t>
            </w:r>
          </w:p>
        </w:tc>
        <w:tc>
          <w:tcPr>
            <w:tcW w:w="3118" w:type="dxa"/>
            <w:tcBorders>
              <w:top w:val="nil"/>
              <w:left w:val="nil"/>
              <w:bottom w:val="nil"/>
              <w:right w:val="nil"/>
            </w:tcBorders>
            <w:shd w:val="clear" w:color="auto" w:fill="auto"/>
            <w:tcMar>
              <w:top w:w="72" w:type="dxa"/>
              <w:left w:w="144" w:type="dxa"/>
              <w:bottom w:w="72" w:type="dxa"/>
              <w:right w:w="144" w:type="dxa"/>
            </w:tcMar>
            <w:vAlign w:val="center"/>
            <w:hideMark/>
          </w:tcPr>
          <w:p w14:paraId="6F4654A7"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 xml:space="preserve">2 beams/panel </w:t>
            </w:r>
            <w:r w:rsidRPr="00837BD1">
              <w:rPr>
                <w:rFonts w:asciiTheme="minorHAnsi" w:hAnsiTheme="minorHAnsi" w:cstheme="minorHAnsi" w:hint="eastAsia"/>
              </w:rPr>
              <w:br/>
              <w:t>(2 opposite panels per RRH site)</w:t>
            </w:r>
          </w:p>
        </w:tc>
        <w:tc>
          <w:tcPr>
            <w:tcW w:w="3969" w:type="dxa"/>
            <w:tcBorders>
              <w:top w:val="nil"/>
              <w:left w:val="nil"/>
              <w:bottom w:val="nil"/>
              <w:right w:val="nil"/>
            </w:tcBorders>
            <w:shd w:val="clear" w:color="auto" w:fill="auto"/>
            <w:tcMar>
              <w:top w:w="72" w:type="dxa"/>
              <w:left w:w="144" w:type="dxa"/>
              <w:bottom w:w="72" w:type="dxa"/>
              <w:right w:w="144" w:type="dxa"/>
            </w:tcMar>
            <w:vAlign w:val="center"/>
            <w:hideMark/>
          </w:tcPr>
          <w:p w14:paraId="782A9069"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(2 panels per UE)</w:t>
            </w:r>
          </w:p>
        </w:tc>
      </w:tr>
      <w:tr w:rsidR="00DE2147" w:rsidRPr="00837BD1" w14:paraId="37A5A2B9" w14:textId="77777777" w:rsidTr="00813EA9">
        <w:trPr>
          <w:trHeight w:val="20"/>
        </w:trPr>
        <w:tc>
          <w:tcPr>
            <w:tcW w:w="9639" w:type="dxa"/>
            <w:gridSpan w:val="4"/>
            <w:tcBorders>
              <w:top w:val="nil"/>
              <w:left w:val="nil"/>
              <w:bottom w:val="single" w:sz="8" w:space="0" w:color="A5A5A5"/>
              <w:right w:val="nil"/>
            </w:tcBorders>
            <w:shd w:val="clear" w:color="auto" w:fill="F0F0F0"/>
            <w:tcMar>
              <w:top w:w="72" w:type="dxa"/>
              <w:left w:w="144" w:type="dxa"/>
              <w:bottom w:w="72" w:type="dxa"/>
              <w:right w:w="144" w:type="dxa"/>
            </w:tcMar>
            <w:vAlign w:val="center"/>
            <w:hideMark/>
          </w:tcPr>
          <w:p w14:paraId="6F80B4D1" w14:textId="77777777" w:rsidR="00DE2147" w:rsidRPr="00837BD1" w:rsidRDefault="00DE2147" w:rsidP="00813EA9">
            <w:pPr>
              <w:spacing w:after="0"/>
              <w:rPr>
                <w:rFonts w:asciiTheme="minorHAnsi" w:hAnsiTheme="minorHAnsi" w:cstheme="minorHAnsi"/>
              </w:rPr>
            </w:pPr>
            <w:r w:rsidRPr="00837BD1">
              <w:rPr>
                <w:rFonts w:asciiTheme="minorHAnsi" w:hAnsiTheme="minorHAnsi" w:cstheme="minorHAnsi" w:hint="eastAsia"/>
              </w:rPr>
              <w:t>Note: For Scn-B, RAN4 can</w:t>
            </w:r>
            <w:r>
              <w:rPr>
                <w:rFonts w:asciiTheme="minorHAnsi" w:hAnsiTheme="minorHAnsi" w:cstheme="minorHAnsi"/>
              </w:rPr>
              <w:t>’</w:t>
            </w:r>
            <w:r w:rsidRPr="00837BD1">
              <w:rPr>
                <w:rFonts w:asciiTheme="minorHAnsi" w:hAnsiTheme="minorHAnsi" w:cstheme="minorHAnsi" w:hint="eastAsia"/>
              </w:rPr>
              <w:t xml:space="preserve">t preclude other options for beam number, due to different understanding of the tradeoff on more/less beams per RRH/UE panel. </w:t>
            </w:r>
          </w:p>
        </w:tc>
      </w:tr>
    </w:tbl>
    <w:p w14:paraId="68606327" w14:textId="77777777" w:rsidR="00DE2147" w:rsidRPr="00837BD1" w:rsidRDefault="00DE2147" w:rsidP="00DE2147">
      <w:pPr>
        <w:rPr>
          <w:rFonts w:asciiTheme="minorHAnsi" w:hAnsiTheme="minorHAnsi" w:cstheme="minorHAnsi"/>
          <w:lang w:eastAsia="zh-CN"/>
        </w:rPr>
      </w:pPr>
    </w:p>
    <w:p w14:paraId="54C8C81A" w14:textId="2423398A" w:rsidR="00DE2147" w:rsidRDefault="00DE2147" w:rsidP="00DE2147">
      <w:pPr>
        <w:rPr>
          <w:rFonts w:asciiTheme="minorHAnsi" w:hAnsiTheme="minorHAnsi" w:cstheme="minorHAnsi"/>
          <w:lang w:val="en-US" w:eastAsia="zh-CN"/>
        </w:rPr>
      </w:pPr>
      <w:r>
        <w:rPr>
          <w:rFonts w:asciiTheme="minorHAnsi" w:hAnsiTheme="minorHAnsi" w:cstheme="minorHAnsi"/>
          <w:lang w:val="en-US" w:eastAsia="zh-CN"/>
        </w:rPr>
        <w:t xml:space="preserve">To avoid </w:t>
      </w:r>
      <w:r>
        <w:rPr>
          <w:rFonts w:asciiTheme="minorHAnsi" w:hAnsiTheme="minorHAnsi" w:cstheme="minorHAnsi" w:hint="eastAsia"/>
          <w:lang w:val="en-US" w:eastAsia="zh-CN"/>
        </w:rPr>
        <w:t>the</w:t>
      </w:r>
      <w:r>
        <w:rPr>
          <w:rFonts w:asciiTheme="minorHAnsi" w:hAnsiTheme="minorHAnsi" w:cstheme="minorHAnsi"/>
          <w:lang w:val="en-US" w:eastAsia="zh-CN"/>
        </w:rPr>
        <w:t xml:space="preserve"> fragmentation of introducing different sets of UE requirement for different Scenarios, the benefit of having a unified set of requirement to cover both Scenario-A and B is identified and mentioned by other companies, which is also regarded as the reasonable proposal and also supported in our accompanying discussion Tdoc R4-2118224.  </w:t>
      </w:r>
    </w:p>
    <w:p w14:paraId="766339F9" w14:textId="3730979D" w:rsidR="00DE2147" w:rsidRPr="00746477" w:rsidRDefault="00DE2147" w:rsidP="00DE2147">
      <w:pPr>
        <w:rPr>
          <w:rFonts w:asciiTheme="minorHAnsi" w:hAnsiTheme="minorHAnsi" w:cstheme="minorHAnsi"/>
          <w:lang w:val="en-US" w:eastAsia="zh-CN"/>
        </w:rPr>
      </w:pPr>
      <w:r>
        <w:rPr>
          <w:rFonts w:asciiTheme="minorHAnsi" w:hAnsiTheme="minorHAnsi" w:cstheme="minorHAnsi"/>
          <w:lang w:val="en-US" w:eastAsia="zh-CN"/>
        </w:rPr>
        <w:t>Accordingly, the next question will be how the unified requirement can be defined to cover all possible solutions, i.e., Scenario-A &amp; B, uni- &amp; bi-directional deployment. W</w:t>
      </w:r>
      <w:r w:rsidRPr="00DE2147">
        <w:rPr>
          <w:rFonts w:asciiTheme="minorHAnsi" w:hAnsiTheme="minorHAnsi" w:cstheme="minorHAnsi"/>
          <w:lang w:val="en-US" w:eastAsia="zh-CN"/>
        </w:rPr>
        <w:t>e are considering the compromise solution, that is to have a unified UE RF requirement which is defined based on Scenario-B and bi-directional deployment, by providing the proper NW signaling. Obviously, if UE can meet the defined UE RF requirement for Scenario-B bi-directional deployment, then from RF perspective, UE can also satisfy the requirement by other typical deployment scenarios.</w:t>
      </w:r>
    </w:p>
    <w:p w14:paraId="4913649F" w14:textId="70DEB335" w:rsidR="00FE008E" w:rsidRPr="00C52135" w:rsidRDefault="00DE2147" w:rsidP="00FE008E">
      <w:pPr>
        <w:rPr>
          <w:rFonts w:asciiTheme="minorHAnsi" w:hAnsiTheme="minorHAnsi" w:cstheme="minorHAnsi" w:hint="eastAsia"/>
          <w:b/>
          <w:lang w:val="en-US" w:eastAsia="zh-CN"/>
        </w:rPr>
      </w:pPr>
      <w:r w:rsidRPr="00C52135">
        <w:rPr>
          <w:rFonts w:asciiTheme="minorHAnsi" w:hAnsiTheme="minorHAnsi" w:cstheme="minorHAnsi"/>
          <w:b/>
          <w:lang w:val="en-US" w:eastAsia="zh-CN"/>
        </w:rPr>
        <w:t xml:space="preserve">Proposal-1: If a unified requirement for both Scenario-A and B is agreed, bi-directional deployment in Scenario-B can be regarded as the baseline </w:t>
      </w:r>
      <w:r w:rsidR="00C52135" w:rsidRPr="00C52135">
        <w:rPr>
          <w:rFonts w:asciiTheme="minorHAnsi" w:hAnsiTheme="minorHAnsi" w:cstheme="minorHAnsi" w:hint="eastAsia"/>
          <w:b/>
          <w:lang w:val="en-US" w:eastAsia="zh-CN"/>
        </w:rPr>
        <w:t>t</w:t>
      </w:r>
      <w:r w:rsidR="00C52135" w:rsidRPr="00C52135">
        <w:rPr>
          <w:rFonts w:asciiTheme="minorHAnsi" w:hAnsiTheme="minorHAnsi" w:cstheme="minorHAnsi"/>
          <w:b/>
          <w:lang w:val="en-US" w:eastAsia="zh-CN"/>
        </w:rPr>
        <w:t xml:space="preserve">o define UE spherical coverage requirement. </w:t>
      </w:r>
    </w:p>
    <w:p w14:paraId="4CAF8E78" w14:textId="77777777" w:rsidR="00F059BE" w:rsidRDefault="00F059BE" w:rsidP="00FE008E">
      <w:pPr>
        <w:rPr>
          <w:rFonts w:asciiTheme="minorHAnsi" w:hAnsiTheme="minorHAnsi" w:cstheme="minorHAnsi"/>
          <w:lang w:val="en-US" w:eastAsia="zh-CN"/>
        </w:rPr>
      </w:pPr>
    </w:p>
    <w:p w14:paraId="2B2C0E57" w14:textId="5D9FF4D7" w:rsidR="00E05FC1" w:rsidRDefault="00AF1433" w:rsidP="00AF1433">
      <w:pPr>
        <w:rPr>
          <w:rFonts w:asciiTheme="minorHAnsi" w:hAnsiTheme="minorHAnsi" w:cstheme="minorHAnsi"/>
          <w:lang w:val="en-US" w:eastAsia="zh-CN"/>
        </w:rPr>
      </w:pPr>
      <w:r>
        <w:rPr>
          <w:rFonts w:asciiTheme="minorHAnsi" w:hAnsiTheme="minorHAnsi" w:cstheme="minorHAnsi"/>
          <w:lang w:val="en-US" w:eastAsia="zh-CN"/>
        </w:rPr>
        <w:t>For the s</w:t>
      </w:r>
      <w:r w:rsidRPr="00AF1433">
        <w:rPr>
          <w:rFonts w:asciiTheme="minorHAnsi" w:hAnsiTheme="minorHAnsi" w:cstheme="minorHAnsi"/>
          <w:lang w:val="en-US" w:eastAsia="zh-CN"/>
        </w:rPr>
        <w:t>pherical coverage requirement framework</w:t>
      </w:r>
      <w:r>
        <w:rPr>
          <w:rFonts w:asciiTheme="minorHAnsi" w:hAnsiTheme="minorHAnsi" w:cstheme="minorHAnsi"/>
          <w:lang w:val="en-US" w:eastAsia="zh-CN"/>
        </w:rPr>
        <w:t>, in that meeting, the group agree to adopt the new framework in which the coverage around the boresight direction shall be guaranteed, while Rel-15 NR spherical coverage requirement framework don’t have any requirement on which part of s</w:t>
      </w:r>
      <w:r w:rsidR="00D93042">
        <w:rPr>
          <w:rFonts w:asciiTheme="minorHAnsi" w:hAnsiTheme="minorHAnsi" w:cstheme="minorHAnsi"/>
          <w:lang w:val="en-US" w:eastAsia="zh-CN"/>
        </w:rPr>
        <w:t xml:space="preserve">pherical to be covered: </w:t>
      </w:r>
    </w:p>
    <w:tbl>
      <w:tblPr>
        <w:tblStyle w:val="TableGrid"/>
        <w:tblW w:w="0" w:type="auto"/>
        <w:tblInd w:w="421" w:type="dxa"/>
        <w:tblLayout w:type="fixed"/>
        <w:tblLook w:val="04A0" w:firstRow="1" w:lastRow="0" w:firstColumn="1" w:lastColumn="0" w:noHBand="0" w:noVBand="1"/>
      </w:tblPr>
      <w:tblGrid>
        <w:gridCol w:w="8646"/>
      </w:tblGrid>
      <w:tr w:rsidR="00D93042" w:rsidRPr="00CF377F" w14:paraId="3EFC6508" w14:textId="77777777" w:rsidTr="00D93042">
        <w:trPr>
          <w:trHeight w:val="1791"/>
        </w:trPr>
        <w:tc>
          <w:tcPr>
            <w:tcW w:w="8646" w:type="dxa"/>
          </w:tcPr>
          <w:p w14:paraId="2C0EF275" w14:textId="77777777" w:rsidR="00D93042" w:rsidRPr="00CF377F" w:rsidRDefault="00D93042" w:rsidP="00813EA9">
            <w:pPr>
              <w:pStyle w:val="ListParagraph"/>
              <w:widowControl w:val="0"/>
              <w:numPr>
                <w:ilvl w:val="1"/>
                <w:numId w:val="2"/>
              </w:numPr>
              <w:overflowPunct/>
              <w:autoSpaceDE/>
              <w:autoSpaceDN/>
              <w:adjustRightInd/>
              <w:spacing w:after="0"/>
              <w:ind w:firstLineChars="0"/>
              <w:jc w:val="both"/>
              <w:textAlignment w:val="bottom"/>
              <w:rPr>
                <w:bCs/>
                <w:sz w:val="18"/>
                <w:u w:val="single"/>
              </w:rPr>
            </w:pPr>
            <w:r w:rsidRPr="00CF377F">
              <w:rPr>
                <w:bCs/>
                <w:sz w:val="18"/>
                <w:u w:val="single"/>
              </w:rPr>
              <w:t>Issue 2-2-1: Spherical coverage requirement framework</w:t>
            </w:r>
          </w:p>
          <w:p w14:paraId="61DD4B7C" w14:textId="77777777" w:rsidR="00D93042" w:rsidRPr="00CF377F" w:rsidRDefault="00D93042" w:rsidP="00813EA9">
            <w:pPr>
              <w:pStyle w:val="ListParagraph"/>
              <w:widowControl w:val="0"/>
              <w:numPr>
                <w:ilvl w:val="2"/>
                <w:numId w:val="2"/>
              </w:numPr>
              <w:overflowPunct/>
              <w:autoSpaceDE/>
              <w:autoSpaceDN/>
              <w:adjustRightInd/>
              <w:spacing w:after="0"/>
              <w:ind w:firstLineChars="0"/>
              <w:jc w:val="both"/>
              <w:textAlignment w:val="bottom"/>
              <w:rPr>
                <w:bCs/>
                <w:sz w:val="18"/>
                <w:highlight w:val="green"/>
              </w:rPr>
            </w:pPr>
            <w:r w:rsidRPr="00CF377F">
              <w:rPr>
                <w:bCs/>
                <w:sz w:val="18"/>
                <w:highlight w:val="green"/>
              </w:rPr>
              <w:t xml:space="preserve">Agreement (GTW Aug 25th): </w:t>
            </w:r>
          </w:p>
          <w:p w14:paraId="01A5AC51" w14:textId="77777777" w:rsidR="00D93042" w:rsidRPr="00CF377F" w:rsidRDefault="00D93042" w:rsidP="00813EA9">
            <w:pPr>
              <w:pStyle w:val="ListParagraph"/>
              <w:widowControl w:val="0"/>
              <w:numPr>
                <w:ilvl w:val="3"/>
                <w:numId w:val="2"/>
              </w:numPr>
              <w:overflowPunct/>
              <w:autoSpaceDE/>
              <w:autoSpaceDN/>
              <w:adjustRightInd/>
              <w:spacing w:after="0"/>
              <w:ind w:firstLineChars="0"/>
              <w:jc w:val="both"/>
              <w:textAlignment w:val="bottom"/>
              <w:rPr>
                <w:bCs/>
                <w:sz w:val="18"/>
              </w:rPr>
            </w:pPr>
            <w:r w:rsidRPr="00CF377F">
              <w:rPr>
                <w:bCs/>
                <w:sz w:val="18"/>
              </w:rPr>
              <w:t>For spherical coverage requirement framework, specify the spherical coverage for FR2 HST in terms of theta and phi range w.r.t. boresight direction.</w:t>
            </w:r>
          </w:p>
          <w:p w14:paraId="4BD051DA" w14:textId="77777777" w:rsidR="00D93042" w:rsidRPr="00CF377F" w:rsidRDefault="00D93042" w:rsidP="00813EA9">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Further discussion on theta and phi value</w:t>
            </w:r>
          </w:p>
          <w:p w14:paraId="11E0FB68" w14:textId="77777777" w:rsidR="00D93042" w:rsidRPr="00CF377F" w:rsidRDefault="00D93042" w:rsidP="00813EA9">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UE should meet EIPR requirement for 100% percentage of test points within the theta and phi range with some tolerances</w:t>
            </w:r>
          </w:p>
          <w:p w14:paraId="6E43ED88" w14:textId="5A525E19" w:rsidR="00D93042" w:rsidRPr="00D93042" w:rsidRDefault="00D93042" w:rsidP="00D93042">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If the problem is identified, go back to option 1.</w:t>
            </w:r>
          </w:p>
        </w:tc>
      </w:tr>
    </w:tbl>
    <w:p w14:paraId="16421320" w14:textId="1CC28A77" w:rsidR="00AF1433" w:rsidRDefault="00AF1433" w:rsidP="00AF1433">
      <w:pPr>
        <w:rPr>
          <w:rFonts w:asciiTheme="minorHAnsi" w:hAnsiTheme="minorHAnsi" w:cstheme="minorHAnsi"/>
          <w:lang w:val="en-US" w:eastAsia="zh-CN"/>
        </w:rPr>
      </w:pPr>
      <w:r>
        <w:rPr>
          <w:rFonts w:asciiTheme="minorHAnsi" w:hAnsiTheme="minorHAnsi" w:cstheme="minorHAnsi"/>
          <w:lang w:val="en-US" w:eastAsia="zh-CN"/>
        </w:rPr>
        <w:t xml:space="preserve">Based on the new </w:t>
      </w:r>
      <w:r w:rsidR="00D93042">
        <w:rPr>
          <w:rFonts w:asciiTheme="minorHAnsi" w:hAnsiTheme="minorHAnsi" w:cstheme="minorHAnsi"/>
          <w:lang w:val="en-US" w:eastAsia="zh-CN"/>
        </w:rPr>
        <w:t>framework, UE needs to firstly declare the direction</w:t>
      </w:r>
      <w:r w:rsidR="00693BF2">
        <w:rPr>
          <w:rFonts w:asciiTheme="minorHAnsi" w:hAnsiTheme="minorHAnsi" w:cstheme="minorHAnsi"/>
          <w:lang w:val="en-US" w:eastAsia="zh-CN"/>
        </w:rPr>
        <w:t>s</w:t>
      </w:r>
      <w:r w:rsidR="00D93042">
        <w:rPr>
          <w:rFonts w:asciiTheme="minorHAnsi" w:hAnsiTheme="minorHAnsi" w:cstheme="minorHAnsi"/>
          <w:lang w:val="en-US" w:eastAsia="zh-CN"/>
        </w:rPr>
        <w:t xml:space="preserve"> of boresight</w:t>
      </w:r>
      <w:r w:rsidR="00693BF2">
        <w:rPr>
          <w:rFonts w:asciiTheme="minorHAnsi" w:hAnsiTheme="minorHAnsi" w:cstheme="minorHAnsi"/>
          <w:lang w:val="en-US" w:eastAsia="zh-CN"/>
        </w:rPr>
        <w:t xml:space="preserve"> for forward and backward directions</w:t>
      </w:r>
      <w:r w:rsidR="00D93042">
        <w:rPr>
          <w:rFonts w:asciiTheme="minorHAnsi" w:hAnsiTheme="minorHAnsi" w:cstheme="minorHAnsi"/>
          <w:lang w:val="en-US" w:eastAsia="zh-CN"/>
        </w:rPr>
        <w:t xml:space="preserve">, and then the </w:t>
      </w:r>
      <w:r w:rsidR="00693BF2">
        <w:rPr>
          <w:rFonts w:asciiTheme="minorHAnsi" w:hAnsiTheme="minorHAnsi" w:cstheme="minorHAnsi"/>
          <w:lang w:val="en-US" w:eastAsia="zh-CN"/>
        </w:rPr>
        <w:t xml:space="preserve">range w.r.t this declared boresight shall meet the EIRP requirement. Then we have the following proposal to specify details. </w:t>
      </w:r>
    </w:p>
    <w:p w14:paraId="5D2F85D9" w14:textId="77777777" w:rsidR="00693BF2" w:rsidRDefault="00693BF2" w:rsidP="00693BF2">
      <w:pPr>
        <w:rPr>
          <w:rFonts w:asciiTheme="minorHAnsi" w:hAnsiTheme="minorHAnsi" w:cstheme="minorHAnsi"/>
          <w:b/>
          <w:lang w:val="en-US" w:eastAsia="zh-CN"/>
        </w:rPr>
      </w:pPr>
      <w:r w:rsidRPr="00C52135">
        <w:rPr>
          <w:rFonts w:asciiTheme="minorHAnsi" w:hAnsiTheme="minorHAnsi" w:cstheme="minorHAnsi"/>
          <w:b/>
          <w:lang w:val="en-US" w:eastAsia="zh-CN"/>
        </w:rPr>
        <w:t>Proposal-</w:t>
      </w:r>
      <w:r>
        <w:rPr>
          <w:rFonts w:asciiTheme="minorHAnsi" w:hAnsiTheme="minorHAnsi" w:cstheme="minorHAnsi"/>
          <w:b/>
          <w:lang w:val="en-US" w:eastAsia="zh-CN"/>
        </w:rPr>
        <w:t>2</w:t>
      </w:r>
      <w:r w:rsidRPr="00C52135">
        <w:rPr>
          <w:rFonts w:asciiTheme="minorHAnsi" w:hAnsiTheme="minorHAnsi" w:cstheme="minorHAnsi"/>
          <w:b/>
          <w:lang w:val="en-US" w:eastAsia="zh-CN"/>
        </w:rPr>
        <w:t xml:space="preserve">: </w:t>
      </w:r>
      <w:r>
        <w:rPr>
          <w:rFonts w:asciiTheme="minorHAnsi" w:hAnsiTheme="minorHAnsi" w:cstheme="minorHAnsi"/>
          <w:b/>
          <w:lang w:val="en-US" w:eastAsia="zh-CN"/>
        </w:rPr>
        <w:t xml:space="preserve">In the new spherical coverage requirement framework, </w:t>
      </w:r>
    </w:p>
    <w:p w14:paraId="59D38D38" w14:textId="4F874557" w:rsidR="00693BF2" w:rsidRDefault="00693BF2" w:rsidP="00693BF2">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Two boresight directions</w:t>
      </w:r>
      <w:r w:rsidR="00B92013">
        <w:rPr>
          <w:rFonts w:asciiTheme="minorHAnsi" w:hAnsiTheme="minorHAnsi" w:cstheme="minorHAnsi"/>
          <w:b/>
          <w:lang w:val="en-US" w:eastAsia="zh-CN"/>
        </w:rPr>
        <w:t xml:space="preserve"> for forward and backward</w:t>
      </w:r>
      <w:r>
        <w:rPr>
          <w:rFonts w:asciiTheme="minorHAnsi" w:hAnsiTheme="minorHAnsi" w:cstheme="minorHAnsi"/>
          <w:b/>
          <w:lang w:val="en-US" w:eastAsia="zh-CN"/>
        </w:rPr>
        <w:t xml:space="preserve"> shall be declared by UE vendors;</w:t>
      </w:r>
    </w:p>
    <w:p w14:paraId="4B44C056" w14:textId="445415A7" w:rsidR="00693BF2" w:rsidRDefault="00693BF2" w:rsidP="00693BF2">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spherical coverage requirement is</w:t>
      </w:r>
      <w:r w:rsidRPr="00693BF2">
        <w:rPr>
          <w:rFonts w:asciiTheme="minorHAnsi" w:hAnsiTheme="minorHAnsi" w:cstheme="minorHAnsi"/>
          <w:b/>
          <w:lang w:val="en-US" w:eastAsia="zh-CN"/>
        </w:rPr>
        <w:t xml:space="preserve"> </w:t>
      </w:r>
      <w:r>
        <w:rPr>
          <w:rFonts w:asciiTheme="minorHAnsi" w:hAnsiTheme="minorHAnsi" w:cstheme="minorHAnsi"/>
          <w:b/>
          <w:lang w:val="en-US" w:eastAsia="zh-CN"/>
        </w:rPr>
        <w:t xml:space="preserve">verified on the </w:t>
      </w:r>
      <w:r>
        <w:rPr>
          <w:rFonts w:asciiTheme="minorEastAsia" w:eastAsiaTheme="minorEastAsia" w:hAnsiTheme="minorEastAsia" w:cstheme="minorHAnsi" w:hint="eastAsia"/>
          <w:b/>
          <w:lang w:val="en-US" w:eastAsia="zh-CN"/>
        </w:rPr>
        <w:t>are</w:t>
      </w:r>
      <w:r>
        <w:rPr>
          <w:rFonts w:asciiTheme="minorHAnsi" w:hAnsiTheme="minorHAnsi" w:cstheme="minorHAnsi"/>
          <w:b/>
          <w:lang w:val="en-US" w:eastAsia="zh-CN"/>
        </w:rPr>
        <w:t>a</w:t>
      </w:r>
      <w:r w:rsidR="00B92013">
        <w:rPr>
          <w:rFonts w:asciiTheme="minorHAnsi" w:hAnsiTheme="minorHAnsi" w:cstheme="minorHAnsi"/>
          <w:b/>
          <w:lang w:val="en-US" w:eastAsia="zh-CN"/>
        </w:rPr>
        <w:t>s</w:t>
      </w:r>
      <w:r>
        <w:rPr>
          <w:rFonts w:asciiTheme="minorHAnsi" w:hAnsiTheme="minorHAnsi" w:cstheme="minorHAnsi"/>
          <w:b/>
          <w:lang w:val="en-US" w:eastAsia="zh-CN"/>
        </w:rPr>
        <w:t xml:space="preserve"> w.r.t </w:t>
      </w:r>
      <w:r w:rsidR="00B92013">
        <w:rPr>
          <w:rFonts w:asciiTheme="minorHAnsi" w:hAnsiTheme="minorHAnsi" w:cstheme="minorHAnsi"/>
          <w:b/>
          <w:lang w:val="en-US" w:eastAsia="zh-CN"/>
        </w:rPr>
        <w:t xml:space="preserve">two </w:t>
      </w:r>
      <w:r>
        <w:rPr>
          <w:rFonts w:asciiTheme="minorHAnsi" w:hAnsiTheme="minorHAnsi" w:cstheme="minorHAnsi"/>
          <w:b/>
          <w:lang w:val="en-US" w:eastAsia="zh-CN"/>
        </w:rPr>
        <w:t>boresight direction</w:t>
      </w:r>
      <w:r w:rsidR="00B92013">
        <w:rPr>
          <w:rFonts w:asciiTheme="minorHAnsi" w:hAnsiTheme="minorHAnsi" w:cstheme="minorHAnsi"/>
          <w:b/>
          <w:lang w:val="en-US" w:eastAsia="zh-CN"/>
        </w:rPr>
        <w:t>s respectively</w:t>
      </w:r>
      <w:r>
        <w:rPr>
          <w:rFonts w:asciiTheme="minorHAnsi" w:hAnsiTheme="minorHAnsi" w:cstheme="minorHAnsi"/>
          <w:b/>
          <w:lang w:val="en-US" w:eastAsia="zh-CN"/>
        </w:rPr>
        <w:t xml:space="preserve">, and </w:t>
      </w:r>
      <w:r w:rsidR="00B92013">
        <w:rPr>
          <w:rFonts w:asciiTheme="minorHAnsi" w:hAnsiTheme="minorHAnsi" w:cstheme="minorHAnsi"/>
          <w:b/>
          <w:lang w:val="en-US" w:eastAsia="zh-CN"/>
        </w:rPr>
        <w:t xml:space="preserve">each </w:t>
      </w:r>
      <w:r>
        <w:rPr>
          <w:rFonts w:asciiTheme="minorHAnsi" w:hAnsiTheme="minorHAnsi" w:cstheme="minorHAnsi"/>
          <w:b/>
          <w:lang w:val="en-US" w:eastAsia="zh-CN"/>
        </w:rPr>
        <w:t xml:space="preserve">area is defined as: </w:t>
      </w:r>
    </w:p>
    <w:p w14:paraId="4D017FD7" w14:textId="42DD8720" w:rsidR="00693BF2" w:rsidRDefault="00693BF2" w:rsidP="00693BF2">
      <w:pPr>
        <w:pStyle w:val="ListParagraph"/>
        <w:numPr>
          <w:ilvl w:val="1"/>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The range [theta_1, theta_2] relative to </w:t>
      </w:r>
      <w:r w:rsidR="00B92013">
        <w:rPr>
          <w:rFonts w:asciiTheme="minorHAnsi" w:hAnsiTheme="minorHAnsi" w:cstheme="minorHAnsi"/>
          <w:b/>
          <w:lang w:val="en-US" w:eastAsia="zh-CN"/>
        </w:rPr>
        <w:t xml:space="preserve">the associated </w:t>
      </w:r>
      <w:r>
        <w:rPr>
          <w:rFonts w:asciiTheme="minorHAnsi" w:hAnsiTheme="minorHAnsi" w:cstheme="minorHAnsi"/>
          <w:b/>
          <w:lang w:val="en-US" w:eastAsia="zh-CN"/>
        </w:rPr>
        <w:t>boresight direction (theta_boresight = 0) for elevation;</w:t>
      </w:r>
    </w:p>
    <w:p w14:paraId="4F32D773" w14:textId="03BDA833" w:rsidR="00693BF2" w:rsidRPr="00693BF2" w:rsidRDefault="00693BF2" w:rsidP="00693BF2">
      <w:pPr>
        <w:pStyle w:val="ListParagraph"/>
        <w:numPr>
          <w:ilvl w:val="1"/>
          <w:numId w:val="13"/>
        </w:numPr>
        <w:ind w:firstLineChars="0"/>
        <w:rPr>
          <w:rFonts w:asciiTheme="minorHAnsi" w:hAnsiTheme="minorHAnsi" w:cstheme="minorHAnsi" w:hint="eastAsia"/>
          <w:b/>
          <w:lang w:val="en-US" w:eastAsia="zh-CN"/>
        </w:rPr>
      </w:pPr>
      <w:r>
        <w:rPr>
          <w:rFonts w:asciiTheme="minorHAnsi" w:hAnsiTheme="minorHAnsi" w:cstheme="minorHAnsi"/>
          <w:b/>
          <w:lang w:val="en-US" w:eastAsia="zh-CN"/>
        </w:rPr>
        <w:t xml:space="preserve">The range [phi_1, phi_2] relative to </w:t>
      </w:r>
      <w:r w:rsidR="00B92013">
        <w:rPr>
          <w:rFonts w:asciiTheme="minorHAnsi" w:hAnsiTheme="minorHAnsi" w:cstheme="minorHAnsi"/>
          <w:b/>
          <w:lang w:val="en-US" w:eastAsia="zh-CN"/>
        </w:rPr>
        <w:t xml:space="preserve">the associated </w:t>
      </w:r>
      <w:r>
        <w:rPr>
          <w:rFonts w:asciiTheme="minorHAnsi" w:hAnsiTheme="minorHAnsi" w:cstheme="minorHAnsi"/>
          <w:b/>
          <w:lang w:val="en-US" w:eastAsia="zh-CN"/>
        </w:rPr>
        <w:t>boresight direction</w:t>
      </w:r>
      <w:r w:rsidR="00B92013">
        <w:rPr>
          <w:rFonts w:asciiTheme="minorHAnsi" w:hAnsiTheme="minorHAnsi" w:cstheme="minorHAnsi"/>
          <w:b/>
          <w:lang w:val="en-US" w:eastAsia="zh-CN"/>
        </w:rPr>
        <w:t xml:space="preserve"> (phi_boresight = 0) for azimuth. </w:t>
      </w:r>
    </w:p>
    <w:p w14:paraId="26F8F710" w14:textId="2F82A0A1" w:rsidR="00AF1433" w:rsidRDefault="00B92013" w:rsidP="00C414EC">
      <w:pPr>
        <w:rPr>
          <w:rFonts w:asciiTheme="minorHAnsi" w:hAnsiTheme="minorHAnsi" w:cstheme="minorHAnsi"/>
          <w:lang w:val="en-US" w:eastAsia="zh-CN"/>
        </w:rPr>
      </w:pPr>
      <w:r>
        <w:rPr>
          <w:rFonts w:asciiTheme="minorHAnsi" w:hAnsiTheme="minorHAnsi" w:cstheme="minorHAnsi"/>
          <w:lang w:val="en-US" w:eastAsia="zh-CN"/>
        </w:rPr>
        <w:t xml:space="preserve">The next question is to define the value of theta_1, theta_2, phi_1 and phi_2. </w:t>
      </w:r>
      <w:r w:rsidR="003A56BD">
        <w:rPr>
          <w:rFonts w:asciiTheme="minorHAnsi" w:hAnsiTheme="minorHAnsi" w:cstheme="minorHAnsi"/>
          <w:lang w:val="en-US" w:eastAsia="zh-CN"/>
        </w:rPr>
        <w:t xml:space="preserve">Based on the </w:t>
      </w:r>
      <w:r w:rsidR="00C414EC">
        <w:rPr>
          <w:rFonts w:asciiTheme="minorHAnsi" w:hAnsiTheme="minorHAnsi" w:cstheme="minorHAnsi"/>
          <w:lang w:val="en-US" w:eastAsia="zh-CN"/>
        </w:rPr>
        <w:t xml:space="preserve">conclusion of channel modeling for </w:t>
      </w:r>
      <w:r w:rsidR="003A56BD">
        <w:rPr>
          <w:rFonts w:asciiTheme="minorHAnsi" w:hAnsiTheme="minorHAnsi" w:cstheme="minorHAnsi"/>
          <w:lang w:val="en-US" w:eastAsia="zh-CN"/>
        </w:rPr>
        <w:t xml:space="preserve">FR2 HST deployment </w:t>
      </w:r>
      <w:r w:rsidR="00C414EC">
        <w:rPr>
          <w:rFonts w:asciiTheme="minorHAnsi" w:hAnsiTheme="minorHAnsi" w:cstheme="minorHAnsi"/>
          <w:lang w:val="en-US" w:eastAsia="zh-CN"/>
        </w:rPr>
        <w:t xml:space="preserve">Scenario-A and B, </w:t>
      </w:r>
    </w:p>
    <w:tbl>
      <w:tblPr>
        <w:tblStyle w:val="TableGrid"/>
        <w:tblW w:w="0" w:type="auto"/>
        <w:tblInd w:w="421" w:type="dxa"/>
        <w:tblLook w:val="04A0" w:firstRow="1" w:lastRow="0" w:firstColumn="1" w:lastColumn="0" w:noHBand="0" w:noVBand="1"/>
      </w:tblPr>
      <w:tblGrid>
        <w:gridCol w:w="8646"/>
      </w:tblGrid>
      <w:tr w:rsidR="00C414EC" w14:paraId="2520A6E9" w14:textId="77777777" w:rsidTr="00C414EC">
        <w:tc>
          <w:tcPr>
            <w:tcW w:w="8646" w:type="dxa"/>
          </w:tcPr>
          <w:p w14:paraId="7129862D" w14:textId="65FACFB0" w:rsidR="00C414EC" w:rsidRDefault="00C414EC" w:rsidP="00C414EC">
            <w:pPr>
              <w:pStyle w:val="ListParagraph"/>
              <w:widowControl w:val="0"/>
              <w:numPr>
                <w:ilvl w:val="1"/>
                <w:numId w:val="2"/>
              </w:numPr>
              <w:overflowPunct/>
              <w:autoSpaceDE/>
              <w:autoSpaceDN/>
              <w:adjustRightInd/>
              <w:spacing w:after="0"/>
              <w:ind w:firstLineChars="0"/>
              <w:jc w:val="both"/>
              <w:textAlignment w:val="bottom"/>
              <w:rPr>
                <w:bCs/>
              </w:rPr>
            </w:pPr>
            <w:r>
              <w:rPr>
                <w:bCs/>
              </w:rPr>
              <w:t xml:space="preserve">WF: </w:t>
            </w:r>
            <w:r w:rsidRPr="00F70C9C">
              <w:rPr>
                <w:bCs/>
              </w:rPr>
              <w:t>Channel model for Uni-directional RRH deployment</w:t>
            </w:r>
          </w:p>
          <w:p w14:paraId="610D5C10" w14:textId="77777777" w:rsidR="00C414EC" w:rsidRPr="00F70C9C" w:rsidRDefault="00C414EC" w:rsidP="00C414EC">
            <w:pPr>
              <w:pStyle w:val="ListParagraph"/>
              <w:widowControl w:val="0"/>
              <w:numPr>
                <w:ilvl w:val="2"/>
                <w:numId w:val="2"/>
              </w:numPr>
              <w:overflowPunct/>
              <w:autoSpaceDE/>
              <w:autoSpaceDN/>
              <w:adjustRightInd/>
              <w:spacing w:after="0"/>
              <w:ind w:firstLineChars="0"/>
              <w:jc w:val="both"/>
              <w:textAlignment w:val="bottom"/>
              <w:rPr>
                <w:bCs/>
              </w:rPr>
            </w:pPr>
            <w:r w:rsidRPr="00F70C9C">
              <w:rPr>
                <w:bCs/>
              </w:rPr>
              <w:t>Ds_offset value for uni-directional</w:t>
            </w:r>
          </w:p>
          <w:p w14:paraId="5891CB6C" w14:textId="77777777" w:rsidR="00C414EC" w:rsidRPr="00F70C9C" w:rsidRDefault="00C414EC" w:rsidP="00C414EC">
            <w:pPr>
              <w:pStyle w:val="ListParagraph"/>
              <w:widowControl w:val="0"/>
              <w:numPr>
                <w:ilvl w:val="3"/>
                <w:numId w:val="2"/>
              </w:numPr>
              <w:overflowPunct/>
              <w:autoSpaceDE/>
              <w:autoSpaceDN/>
              <w:adjustRightInd/>
              <w:spacing w:after="0"/>
              <w:ind w:firstLineChars="0"/>
              <w:jc w:val="both"/>
              <w:textAlignment w:val="bottom"/>
              <w:rPr>
                <w:bCs/>
              </w:rPr>
            </w:pPr>
            <w:r w:rsidRPr="00F70C9C">
              <w:rPr>
                <w:bCs/>
              </w:rPr>
              <w:t>[Background] Candidate options for Ds_offset:</w:t>
            </w:r>
          </w:p>
          <w:p w14:paraId="6C35C081" w14:textId="77777777" w:rsidR="00C414EC" w:rsidRPr="00F70C9C" w:rsidRDefault="00C414EC" w:rsidP="00C414EC">
            <w:pPr>
              <w:pStyle w:val="ListParagraph"/>
              <w:widowControl w:val="0"/>
              <w:numPr>
                <w:ilvl w:val="4"/>
                <w:numId w:val="2"/>
              </w:numPr>
              <w:overflowPunct/>
              <w:autoSpaceDE/>
              <w:autoSpaceDN/>
              <w:adjustRightInd/>
              <w:spacing w:after="0"/>
              <w:ind w:firstLineChars="0"/>
              <w:jc w:val="both"/>
              <w:textAlignment w:val="bottom"/>
              <w:rPr>
                <w:bCs/>
              </w:rPr>
            </w:pPr>
            <w:r w:rsidRPr="00F70C9C">
              <w:rPr>
                <w:bCs/>
              </w:rPr>
              <w:t xml:space="preserve">Option-1: Ds_offset = 0 for the Doppler shift worst case for UE </w:t>
            </w:r>
            <w:r w:rsidRPr="00F70C9C">
              <w:rPr>
                <w:bCs/>
              </w:rPr>
              <w:lastRenderedPageBreak/>
              <w:t>performance evaluation.</w:t>
            </w:r>
          </w:p>
          <w:p w14:paraId="6526FFA2" w14:textId="77777777" w:rsidR="00C414EC" w:rsidRPr="00F70C9C" w:rsidRDefault="00C414EC" w:rsidP="00C414EC">
            <w:pPr>
              <w:pStyle w:val="ListParagraph"/>
              <w:widowControl w:val="0"/>
              <w:numPr>
                <w:ilvl w:val="4"/>
                <w:numId w:val="2"/>
              </w:numPr>
              <w:overflowPunct/>
              <w:autoSpaceDE/>
              <w:autoSpaceDN/>
              <w:adjustRightInd/>
              <w:spacing w:after="0"/>
              <w:ind w:firstLineChars="0"/>
              <w:jc w:val="both"/>
              <w:textAlignment w:val="bottom"/>
              <w:rPr>
                <w:bCs/>
              </w:rPr>
            </w:pPr>
            <w:r w:rsidRPr="00F70C9C">
              <w:rPr>
                <w:bCs/>
              </w:rPr>
              <w:t xml:space="preserve">Option-2: Follow deployment scenario study outcome for a typical value chosen: </w:t>
            </w:r>
          </w:p>
          <w:p w14:paraId="2429E3E9" w14:textId="77777777" w:rsidR="00C414EC" w:rsidRPr="00F70C9C" w:rsidRDefault="00C414EC" w:rsidP="00C414EC">
            <w:pPr>
              <w:pStyle w:val="ListParagraph"/>
              <w:widowControl w:val="0"/>
              <w:numPr>
                <w:ilvl w:val="5"/>
                <w:numId w:val="2"/>
              </w:numPr>
              <w:overflowPunct/>
              <w:autoSpaceDE/>
              <w:autoSpaceDN/>
              <w:adjustRightInd/>
              <w:spacing w:after="0"/>
              <w:ind w:firstLineChars="0"/>
              <w:jc w:val="both"/>
              <w:textAlignment w:val="bottom"/>
              <w:rPr>
                <w:bCs/>
              </w:rPr>
            </w:pPr>
            <w:r w:rsidRPr="00F70C9C">
              <w:rPr>
                <w:bCs/>
              </w:rPr>
              <w:t>Scenario-A: Ds_offset = 50m</w:t>
            </w:r>
          </w:p>
          <w:p w14:paraId="7619375C" w14:textId="77777777" w:rsidR="00C414EC" w:rsidRPr="00F70C9C" w:rsidRDefault="00C414EC" w:rsidP="00C414EC">
            <w:pPr>
              <w:pStyle w:val="ListParagraph"/>
              <w:widowControl w:val="0"/>
              <w:numPr>
                <w:ilvl w:val="5"/>
                <w:numId w:val="2"/>
              </w:numPr>
              <w:overflowPunct/>
              <w:autoSpaceDE/>
              <w:autoSpaceDN/>
              <w:adjustRightInd/>
              <w:spacing w:after="0"/>
              <w:ind w:firstLineChars="0"/>
              <w:jc w:val="both"/>
              <w:textAlignment w:val="bottom"/>
              <w:rPr>
                <w:bCs/>
              </w:rPr>
            </w:pPr>
            <w:r w:rsidRPr="00F70C9C">
              <w:rPr>
                <w:bCs/>
              </w:rPr>
              <w:t>Scenario-B: Ds_offset = [100, or 200] m</w:t>
            </w:r>
          </w:p>
          <w:p w14:paraId="406DBCD5" w14:textId="77777777" w:rsidR="00C414EC" w:rsidRPr="00F70C9C" w:rsidRDefault="00C414EC" w:rsidP="00C414EC">
            <w:pPr>
              <w:pStyle w:val="ListParagraph"/>
              <w:widowControl w:val="0"/>
              <w:numPr>
                <w:ilvl w:val="3"/>
                <w:numId w:val="2"/>
              </w:numPr>
              <w:overflowPunct/>
              <w:autoSpaceDE/>
              <w:autoSpaceDN/>
              <w:adjustRightInd/>
              <w:spacing w:after="0"/>
              <w:ind w:firstLineChars="0"/>
              <w:jc w:val="both"/>
              <w:textAlignment w:val="bottom"/>
              <w:rPr>
                <w:bCs/>
                <w:highlight w:val="green"/>
              </w:rPr>
            </w:pPr>
            <w:r w:rsidRPr="00F70C9C">
              <w:rPr>
                <w:bCs/>
                <w:highlight w:val="green"/>
              </w:rPr>
              <w:t>Agreement (GTW Aug 24th):</w:t>
            </w:r>
          </w:p>
          <w:p w14:paraId="4CF20D52" w14:textId="77777777" w:rsidR="00C414EC" w:rsidRPr="00F70C9C" w:rsidRDefault="00C414EC" w:rsidP="00C414EC">
            <w:pPr>
              <w:pStyle w:val="ListParagraph"/>
              <w:widowControl w:val="0"/>
              <w:numPr>
                <w:ilvl w:val="4"/>
                <w:numId w:val="2"/>
              </w:numPr>
              <w:overflowPunct/>
              <w:autoSpaceDE/>
              <w:autoSpaceDN/>
              <w:adjustRightInd/>
              <w:spacing w:after="0"/>
              <w:ind w:firstLineChars="0"/>
              <w:jc w:val="both"/>
              <w:textAlignment w:val="bottom"/>
              <w:rPr>
                <w:bCs/>
              </w:rPr>
            </w:pPr>
            <w:r w:rsidRPr="00F70C9C">
              <w:rPr>
                <w:bCs/>
              </w:rPr>
              <w:t>Scenario-A: Ds_offset = 10m</w:t>
            </w:r>
          </w:p>
          <w:p w14:paraId="7CF5E9BD" w14:textId="77777777" w:rsidR="00C414EC" w:rsidRPr="00F70C9C" w:rsidRDefault="00C414EC" w:rsidP="00C414EC">
            <w:pPr>
              <w:pStyle w:val="ListParagraph"/>
              <w:widowControl w:val="0"/>
              <w:numPr>
                <w:ilvl w:val="4"/>
                <w:numId w:val="2"/>
              </w:numPr>
              <w:overflowPunct/>
              <w:autoSpaceDE/>
              <w:autoSpaceDN/>
              <w:adjustRightInd/>
              <w:spacing w:after="0"/>
              <w:ind w:firstLineChars="0"/>
              <w:jc w:val="both"/>
              <w:textAlignment w:val="bottom"/>
              <w:rPr>
                <w:bCs/>
              </w:rPr>
            </w:pPr>
            <w:r w:rsidRPr="00F70C9C">
              <w:rPr>
                <w:bCs/>
              </w:rPr>
              <w:t xml:space="preserve">Scenario-B: Ds_offset =100m </w:t>
            </w:r>
          </w:p>
          <w:p w14:paraId="0114E788" w14:textId="77777777" w:rsidR="00C414EC" w:rsidRPr="00F70C9C" w:rsidRDefault="00C414EC" w:rsidP="00C414EC">
            <w:pPr>
              <w:pStyle w:val="ListParagraph"/>
              <w:widowControl w:val="0"/>
              <w:numPr>
                <w:ilvl w:val="4"/>
                <w:numId w:val="2"/>
              </w:numPr>
              <w:overflowPunct/>
              <w:autoSpaceDE/>
              <w:autoSpaceDN/>
              <w:adjustRightInd/>
              <w:spacing w:after="0"/>
              <w:ind w:firstLineChars="0"/>
              <w:jc w:val="both"/>
              <w:textAlignment w:val="bottom"/>
              <w:rPr>
                <w:bCs/>
              </w:rPr>
            </w:pPr>
            <w:r w:rsidRPr="00F70C9C">
              <w:rPr>
                <w:bCs/>
              </w:rPr>
              <w:t xml:space="preserve">Note: The values are derived from worst cases based on the analysis of deployment scenario and used for demodulation requirement definition purpose. </w:t>
            </w:r>
          </w:p>
          <w:p w14:paraId="40103D59" w14:textId="0343E3E8" w:rsidR="00C414EC" w:rsidRDefault="00C414EC" w:rsidP="00C414EC">
            <w:pPr>
              <w:pStyle w:val="ListParagraph"/>
              <w:widowControl w:val="0"/>
              <w:numPr>
                <w:ilvl w:val="1"/>
                <w:numId w:val="2"/>
              </w:numPr>
              <w:overflowPunct/>
              <w:autoSpaceDE/>
              <w:autoSpaceDN/>
              <w:adjustRightInd/>
              <w:spacing w:after="0"/>
              <w:ind w:firstLineChars="0"/>
              <w:jc w:val="both"/>
              <w:textAlignment w:val="bottom"/>
              <w:rPr>
                <w:bCs/>
              </w:rPr>
            </w:pPr>
            <w:r>
              <w:rPr>
                <w:bCs/>
              </w:rPr>
              <w:t xml:space="preserve">WF: </w:t>
            </w:r>
            <w:r w:rsidRPr="00C414EC">
              <w:rPr>
                <w:bCs/>
              </w:rPr>
              <w:t>Channel modeling for FR</w:t>
            </w:r>
            <w:r w:rsidR="00EB446E">
              <w:rPr>
                <w:bCs/>
              </w:rPr>
              <w:t xml:space="preserve">2 HST bi-directional deployment: </w:t>
            </w:r>
          </w:p>
          <w:p w14:paraId="5E8AF593" w14:textId="77777777" w:rsidR="00EB446E" w:rsidRPr="00C414EC" w:rsidRDefault="00EB446E" w:rsidP="00EB446E">
            <w:pPr>
              <w:pStyle w:val="ListParagraph"/>
              <w:widowControl w:val="0"/>
              <w:overflowPunct/>
              <w:autoSpaceDE/>
              <w:autoSpaceDN/>
              <w:adjustRightInd/>
              <w:spacing w:after="0"/>
              <w:ind w:left="700" w:firstLineChars="0" w:firstLine="0"/>
              <w:jc w:val="both"/>
              <w:textAlignment w:val="bottom"/>
              <w:rPr>
                <w:bCs/>
              </w:rPr>
            </w:pPr>
          </w:p>
          <w:p w14:paraId="17CAC6A3" w14:textId="77777777" w:rsidR="00EB446E" w:rsidRPr="008960A2" w:rsidRDefault="00EB446E" w:rsidP="00EB446E">
            <w:pPr>
              <w:numPr>
                <w:ilvl w:val="1"/>
                <w:numId w:val="0"/>
              </w:numPr>
              <w:tabs>
                <w:tab w:val="left" w:pos="720"/>
                <w:tab w:val="left" w:pos="884"/>
                <w:tab w:val="left" w:pos="1440"/>
                <w:tab w:val="left" w:pos="2160"/>
              </w:tabs>
              <w:spacing w:after="0"/>
              <w:ind w:left="1440" w:hanging="360"/>
            </w:pPr>
            <w:r w:rsidRPr="008960A2">
              <w:t>Option 2(a): To match Bi-directional deployment Scheme-1: UE connect to 2nd-nearest RRH.</w:t>
            </w:r>
          </w:p>
          <w:p w14:paraId="59330733" w14:textId="77777777" w:rsidR="00EB446E" w:rsidRPr="008960A2" w:rsidRDefault="00EB446E" w:rsidP="00EB446E">
            <w:pPr>
              <w:numPr>
                <w:ilvl w:val="3"/>
                <w:numId w:val="15"/>
              </w:numPr>
              <w:contextualSpacing/>
              <w:textAlignment w:val="bottom"/>
              <w:rPr>
                <w:rFonts w:eastAsia="MS Mincho"/>
                <w:sz w:val="18"/>
              </w:rPr>
            </w:pPr>
            <m:oMath>
              <m:func>
                <m:funcPr>
                  <m:ctrlPr>
                    <w:rPr>
                      <w:rFonts w:ascii="Cambria Math" w:eastAsia="MS Mincho" w:hAnsi="Cambria Math"/>
                      <w:sz w:val="18"/>
                    </w:rPr>
                  </m:ctrlPr>
                </m:funcPr>
                <m:fName>
                  <m:r>
                    <m:rPr>
                      <m:sty m:val="p"/>
                    </m:rPr>
                    <w:rPr>
                      <w:rFonts w:ascii="Cambria Math" w:eastAsia="MS Mincho" w:hAnsi="Cambria Math"/>
                      <w:sz w:val="18"/>
                    </w:rPr>
                    <m:t>cos</m:t>
                  </m:r>
                </m:fName>
                <m:e>
                  <m:r>
                    <m:rPr>
                      <m:sty m:val="p"/>
                    </m:rPr>
                    <w:rPr>
                      <w:rFonts w:ascii="Cambria Math" w:eastAsia="MS Mincho" w:hAnsi="Cambria Math"/>
                      <w:sz w:val="18"/>
                    </w:rPr>
                    <m:t>θ</m:t>
                  </m:r>
                  <m:d>
                    <m:dPr>
                      <m:ctrlPr>
                        <w:rPr>
                          <w:rFonts w:ascii="Cambria Math" w:eastAsia="MS Mincho" w:hAnsi="Cambria Math"/>
                          <w:sz w:val="18"/>
                        </w:rPr>
                      </m:ctrlPr>
                    </m:dPr>
                    <m:e>
                      <m:r>
                        <m:rPr>
                          <m:sty m:val="p"/>
                        </m:rPr>
                        <w:rPr>
                          <w:rFonts w:ascii="Cambria Math" w:eastAsia="MS Mincho" w:hAnsi="Cambria Math"/>
                          <w:sz w:val="18"/>
                        </w:rPr>
                        <m:t>t</m:t>
                      </m:r>
                    </m:e>
                  </m:d>
                </m:e>
              </m:func>
              <m:r>
                <m:rPr>
                  <m:sty m:val="p"/>
                </m:rPr>
                <w:rPr>
                  <w:rFonts w:ascii="Cambria Math" w:eastAsia="MS Mincho" w:hAnsi="Cambria Math"/>
                  <w:sz w:val="18"/>
                </w:rPr>
                <m:t>=</m:t>
              </m:r>
              <m:f>
                <m:fPr>
                  <m:ctrlPr>
                    <w:rPr>
                      <w:rFonts w:ascii="Cambria Math" w:eastAsia="MS Mincho" w:hAnsi="Cambria Math"/>
                      <w:sz w:val="18"/>
                    </w:rPr>
                  </m:ctrlPr>
                </m:fPr>
                <m:num>
                  <m:sSub>
                    <m:sSubPr>
                      <m:ctrlPr>
                        <w:rPr>
                          <w:rFonts w:ascii="Cambria Math" w:eastAsia="MS Mincho" w:hAnsi="Cambria Math"/>
                          <w:sz w:val="18"/>
                        </w:rPr>
                      </m:ctrlPr>
                    </m:sSubPr>
                    <m:e>
                      <m:r>
                        <m:rPr>
                          <m:sty m:val="p"/>
                        </m:rPr>
                        <w:rPr>
                          <w:rFonts w:ascii="Cambria Math" w:eastAsia="MS Mincho" w:hAnsi="Cambria Math"/>
                          <w:sz w:val="18"/>
                        </w:rPr>
                        <m:t>D</m:t>
                      </m:r>
                    </m:e>
                    <m:sub>
                      <m:r>
                        <m:rPr>
                          <m:sty m:val="p"/>
                        </m:rPr>
                        <w:rPr>
                          <w:rFonts w:ascii="Cambria Math" w:eastAsia="MS Mincho" w:hAnsi="Cambria Math"/>
                          <w:sz w:val="18"/>
                        </w:rPr>
                        <m:t>s</m:t>
                      </m:r>
                    </m:sub>
                  </m:sSub>
                  <m:r>
                    <m:rPr>
                      <m:sty m:val="p"/>
                    </m:rPr>
                    <w:rPr>
                      <w:rFonts w:ascii="Cambria Math" w:eastAsia="MS Mincho" w:hAnsi="Cambria Math"/>
                      <w:sz w:val="18"/>
                    </w:rPr>
                    <m:t>-vt</m:t>
                  </m:r>
                </m:num>
                <m:den>
                  <m:rad>
                    <m:radPr>
                      <m:degHide m:val="1"/>
                      <m:ctrlPr>
                        <w:rPr>
                          <w:rFonts w:ascii="Cambria Math" w:eastAsia="MS Mincho" w:hAnsi="Cambria Math"/>
                          <w:sz w:val="18"/>
                        </w:rPr>
                      </m:ctrlPr>
                    </m:radPr>
                    <m:deg/>
                    <m:e>
                      <m:sSubSup>
                        <m:sSubSupPr>
                          <m:ctrlPr>
                            <w:rPr>
                              <w:rFonts w:ascii="Cambria Math" w:eastAsia="MS Mincho" w:hAnsi="Cambria Math"/>
                              <w:sz w:val="18"/>
                            </w:rPr>
                          </m:ctrlPr>
                        </m:sSubSupPr>
                        <m:e>
                          <m:r>
                            <m:rPr>
                              <m:sty m:val="p"/>
                            </m:rPr>
                            <w:rPr>
                              <w:rFonts w:ascii="Cambria Math" w:eastAsia="MS Mincho" w:hAnsi="Cambria Math"/>
                              <w:sz w:val="18"/>
                            </w:rPr>
                            <m:t>D</m:t>
                          </m:r>
                        </m:e>
                        <m:sub>
                          <m:r>
                            <m:rPr>
                              <m:sty m:val="p"/>
                            </m:rPr>
                            <w:rPr>
                              <w:rFonts w:ascii="Cambria Math" w:eastAsia="MS Mincho" w:hAnsi="Cambria Math"/>
                              <w:sz w:val="18"/>
                            </w:rPr>
                            <m:t>min</m:t>
                          </m:r>
                        </m:sub>
                        <m:sup>
                          <m:r>
                            <m:rPr>
                              <m:sty m:val="p"/>
                            </m:rPr>
                            <w:rPr>
                              <w:rFonts w:ascii="Cambria Math" w:eastAsia="MS Mincho" w:hAnsi="Cambria Math"/>
                              <w:sz w:val="18"/>
                            </w:rPr>
                            <m:t>2</m:t>
                          </m:r>
                        </m:sup>
                      </m:sSubSup>
                      <m:r>
                        <m:rPr>
                          <m:sty m:val="p"/>
                        </m:rPr>
                        <w:rPr>
                          <w:rFonts w:ascii="Cambria Math" w:eastAsia="MS Mincho" w:hAnsi="Cambria Math"/>
                          <w:sz w:val="18"/>
                        </w:rPr>
                        <m:t>+</m:t>
                      </m:r>
                      <m:sSup>
                        <m:sSupPr>
                          <m:ctrlPr>
                            <w:rPr>
                              <w:rFonts w:ascii="Cambria Math" w:eastAsia="MS Mincho" w:hAnsi="Cambria Math"/>
                              <w:sz w:val="18"/>
                            </w:rPr>
                          </m:ctrlPr>
                        </m:sSupPr>
                        <m:e>
                          <m:d>
                            <m:dPr>
                              <m:ctrlPr>
                                <w:rPr>
                                  <w:rFonts w:ascii="Cambria Math" w:eastAsia="MS Mincho" w:hAnsi="Cambria Math"/>
                                  <w:sz w:val="18"/>
                                </w:rPr>
                              </m:ctrlPr>
                            </m:dPr>
                            <m:e>
                              <m:sSub>
                                <m:sSubPr>
                                  <m:ctrlPr>
                                    <w:rPr>
                                      <w:rFonts w:ascii="Cambria Math" w:eastAsia="MS Mincho" w:hAnsi="Cambria Math"/>
                                      <w:sz w:val="18"/>
                                    </w:rPr>
                                  </m:ctrlPr>
                                </m:sSubPr>
                                <m:e>
                                  <m:r>
                                    <m:rPr>
                                      <m:sty m:val="p"/>
                                    </m:rPr>
                                    <w:rPr>
                                      <w:rFonts w:ascii="Cambria Math" w:eastAsia="MS Mincho" w:hAnsi="Cambria Math"/>
                                      <w:sz w:val="18"/>
                                    </w:rPr>
                                    <m:t>D</m:t>
                                  </m:r>
                                </m:e>
                                <m:sub>
                                  <m:r>
                                    <m:rPr>
                                      <m:sty m:val="p"/>
                                    </m:rPr>
                                    <w:rPr>
                                      <w:rFonts w:ascii="Cambria Math" w:eastAsia="MS Mincho" w:hAnsi="Cambria Math"/>
                                      <w:sz w:val="18"/>
                                    </w:rPr>
                                    <m:t>s</m:t>
                                  </m:r>
                                </m:sub>
                              </m:sSub>
                              <m:r>
                                <m:rPr>
                                  <m:sty m:val="p"/>
                                </m:rPr>
                                <w:rPr>
                                  <w:rFonts w:ascii="Cambria Math" w:eastAsia="MS Mincho" w:hAnsi="Cambria Math"/>
                                  <w:sz w:val="18"/>
                                </w:rPr>
                                <m:t>-vt</m:t>
                              </m:r>
                            </m:e>
                          </m:d>
                        </m:e>
                        <m:sup>
                          <m:r>
                            <m:rPr>
                              <m:sty m:val="p"/>
                            </m:rPr>
                            <w:rPr>
                              <w:rFonts w:ascii="Cambria Math" w:eastAsia="MS Mincho" w:hAnsi="Cambria Math"/>
                              <w:sz w:val="18"/>
                            </w:rPr>
                            <m:t>2</m:t>
                          </m:r>
                        </m:sup>
                      </m:sSup>
                    </m:e>
                  </m:rad>
                </m:den>
              </m:f>
              <m:r>
                <m:rPr>
                  <m:sty m:val="p"/>
                </m:rPr>
                <w:rPr>
                  <w:rFonts w:ascii="Cambria Math" w:eastAsia="MS Mincho" w:hAnsi="Cambria Math"/>
                  <w:sz w:val="18"/>
                </w:rPr>
                <m:t>,  0&lt;</m:t>
              </m:r>
              <m:r>
                <m:rPr>
                  <m:sty m:val="p"/>
                </m:rPr>
                <w:rPr>
                  <w:rFonts w:ascii="Cambria Math" w:eastAsia="MS Mincho" w:hAnsi="Cambria Math" w:hint="eastAsia"/>
                  <w:sz w:val="18"/>
                </w:rPr>
                <m:t>t</m:t>
              </m:r>
              <m:r>
                <m:rPr>
                  <m:sty m:val="p"/>
                </m:rPr>
                <w:rPr>
                  <w:rFonts w:ascii="Cambria Math" w:eastAsia="MS Mincho" w:hAnsi="Cambria Math" w:hint="eastAsia"/>
                  <w:sz w:val="18"/>
                </w:rPr>
                <m:t>≤</m:t>
              </m:r>
              <m:sSub>
                <m:sSubPr>
                  <m:ctrlPr>
                    <w:rPr>
                      <w:rFonts w:ascii="Cambria Math" w:eastAsia="MS Mincho" w:hAnsi="Cambria Math"/>
                      <w:sz w:val="18"/>
                    </w:rPr>
                  </m:ctrlPr>
                </m:sSubPr>
                <m:e>
                  <m:r>
                    <m:rPr>
                      <m:sty m:val="p"/>
                    </m:rPr>
                    <w:rPr>
                      <w:rFonts w:ascii="Cambria Math" w:eastAsia="MS Mincho" w:hAnsi="Cambria Math"/>
                      <w:sz w:val="18"/>
                    </w:rPr>
                    <m:t>(0.5*D</m:t>
                  </m:r>
                </m:e>
                <m:sub>
                  <m:r>
                    <m:rPr>
                      <m:sty m:val="p"/>
                    </m:rPr>
                    <w:rPr>
                      <w:rFonts w:ascii="Cambria Math" w:eastAsia="MS Mincho" w:hAnsi="Cambria Math"/>
                      <w:sz w:val="18"/>
                    </w:rPr>
                    <m:t>s</m:t>
                  </m:r>
                </m:sub>
              </m:sSub>
              <m:r>
                <m:rPr>
                  <m:sty m:val="p"/>
                </m:rPr>
                <w:rPr>
                  <w:rFonts w:ascii="Cambria Math" w:eastAsia="MS Mincho" w:hAnsi="Cambria Math"/>
                  <w:sz w:val="18"/>
                </w:rPr>
                <m:t>)/v</m:t>
              </m:r>
            </m:oMath>
          </w:p>
          <w:p w14:paraId="15A811E9" w14:textId="77777777" w:rsidR="00EB446E" w:rsidRPr="008960A2" w:rsidRDefault="00EB446E" w:rsidP="00EB446E">
            <w:pPr>
              <w:numPr>
                <w:ilvl w:val="3"/>
                <w:numId w:val="15"/>
              </w:numPr>
              <w:contextualSpacing/>
              <w:textAlignment w:val="bottom"/>
              <w:rPr>
                <w:rFonts w:eastAsia="MS Mincho"/>
                <w:sz w:val="18"/>
              </w:rPr>
            </w:pPr>
            <m:oMath>
              <m:func>
                <m:funcPr>
                  <m:ctrlPr>
                    <w:rPr>
                      <w:rFonts w:ascii="Cambria Math" w:eastAsia="MS Mincho" w:hAnsi="Cambria Math"/>
                      <w:sz w:val="18"/>
                    </w:rPr>
                  </m:ctrlPr>
                </m:funcPr>
                <m:fName>
                  <m:r>
                    <m:rPr>
                      <m:sty m:val="p"/>
                    </m:rPr>
                    <w:rPr>
                      <w:rFonts w:ascii="Cambria Math" w:eastAsia="MS Mincho" w:hAnsi="Cambria Math"/>
                      <w:sz w:val="18"/>
                    </w:rPr>
                    <m:t>cos</m:t>
                  </m:r>
                </m:fName>
                <m:e>
                  <m:r>
                    <m:rPr>
                      <m:sty m:val="p"/>
                    </m:rPr>
                    <w:rPr>
                      <w:rFonts w:ascii="Cambria Math" w:eastAsia="MS Mincho" w:hAnsi="Cambria Math"/>
                      <w:sz w:val="18"/>
                    </w:rPr>
                    <m:t>θ</m:t>
                  </m:r>
                  <m:d>
                    <m:dPr>
                      <m:ctrlPr>
                        <w:rPr>
                          <w:rFonts w:ascii="Cambria Math" w:eastAsia="MS Mincho" w:hAnsi="Cambria Math"/>
                          <w:sz w:val="18"/>
                        </w:rPr>
                      </m:ctrlPr>
                    </m:dPr>
                    <m:e>
                      <m:r>
                        <m:rPr>
                          <m:sty m:val="p"/>
                        </m:rPr>
                        <w:rPr>
                          <w:rFonts w:ascii="Cambria Math" w:eastAsia="MS Mincho" w:hAnsi="Cambria Math"/>
                          <w:sz w:val="18"/>
                        </w:rPr>
                        <m:t>t</m:t>
                      </m:r>
                    </m:e>
                  </m:d>
                </m:e>
              </m:func>
              <m:r>
                <m:rPr>
                  <m:sty m:val="p"/>
                </m:rPr>
                <w:rPr>
                  <w:rFonts w:ascii="Cambria Math" w:eastAsia="MS Mincho" w:hAnsi="Cambria Math"/>
                  <w:sz w:val="18"/>
                </w:rPr>
                <m:t>=-</m:t>
              </m:r>
              <m:f>
                <m:fPr>
                  <m:ctrlPr>
                    <w:rPr>
                      <w:rFonts w:ascii="Cambria Math" w:eastAsia="MS Mincho" w:hAnsi="Cambria Math"/>
                      <w:sz w:val="18"/>
                    </w:rPr>
                  </m:ctrlPr>
                </m:fPr>
                <m:num>
                  <m:r>
                    <m:rPr>
                      <m:sty m:val="p"/>
                    </m:rPr>
                    <w:rPr>
                      <w:rFonts w:ascii="Cambria Math" w:eastAsia="MS Mincho" w:hAnsi="Cambria Math"/>
                      <w:sz w:val="18"/>
                    </w:rPr>
                    <m:t>vt</m:t>
                  </m:r>
                </m:num>
                <m:den>
                  <m:rad>
                    <m:radPr>
                      <m:degHide m:val="1"/>
                      <m:ctrlPr>
                        <w:rPr>
                          <w:rFonts w:ascii="Cambria Math" w:eastAsia="MS Mincho" w:hAnsi="Cambria Math"/>
                          <w:sz w:val="18"/>
                        </w:rPr>
                      </m:ctrlPr>
                    </m:radPr>
                    <m:deg/>
                    <m:e>
                      <m:sSubSup>
                        <m:sSubSupPr>
                          <m:ctrlPr>
                            <w:rPr>
                              <w:rFonts w:ascii="Cambria Math" w:eastAsia="MS Mincho" w:hAnsi="Cambria Math"/>
                              <w:sz w:val="18"/>
                            </w:rPr>
                          </m:ctrlPr>
                        </m:sSubSupPr>
                        <m:e>
                          <m:r>
                            <m:rPr>
                              <m:sty m:val="p"/>
                            </m:rPr>
                            <w:rPr>
                              <w:rFonts w:ascii="Cambria Math" w:eastAsia="MS Mincho" w:hAnsi="Cambria Math"/>
                              <w:sz w:val="18"/>
                            </w:rPr>
                            <m:t>D</m:t>
                          </m:r>
                        </m:e>
                        <m:sub>
                          <m:r>
                            <m:rPr>
                              <m:sty m:val="p"/>
                            </m:rPr>
                            <w:rPr>
                              <w:rFonts w:ascii="Cambria Math" w:eastAsia="MS Mincho" w:hAnsi="Cambria Math"/>
                              <w:sz w:val="18"/>
                            </w:rPr>
                            <m:t>min</m:t>
                          </m:r>
                        </m:sub>
                        <m:sup>
                          <m:r>
                            <m:rPr>
                              <m:sty m:val="p"/>
                            </m:rPr>
                            <w:rPr>
                              <w:rFonts w:ascii="Cambria Math" w:eastAsia="MS Mincho" w:hAnsi="Cambria Math"/>
                              <w:sz w:val="18"/>
                            </w:rPr>
                            <m:t>2</m:t>
                          </m:r>
                        </m:sup>
                      </m:sSubSup>
                      <m:r>
                        <m:rPr>
                          <m:sty m:val="p"/>
                        </m:rPr>
                        <w:rPr>
                          <w:rFonts w:ascii="Cambria Math" w:eastAsia="MS Mincho" w:hAnsi="Cambria Math"/>
                          <w:sz w:val="18"/>
                        </w:rPr>
                        <m:t>+</m:t>
                      </m:r>
                      <m:sSup>
                        <m:sSupPr>
                          <m:ctrlPr>
                            <w:rPr>
                              <w:rFonts w:ascii="Cambria Math" w:eastAsia="MS Mincho" w:hAnsi="Cambria Math"/>
                              <w:sz w:val="18"/>
                            </w:rPr>
                          </m:ctrlPr>
                        </m:sSupPr>
                        <m:e>
                          <m:d>
                            <m:dPr>
                              <m:ctrlPr>
                                <w:rPr>
                                  <w:rFonts w:ascii="Cambria Math" w:eastAsia="MS Mincho" w:hAnsi="Cambria Math"/>
                                  <w:sz w:val="18"/>
                                </w:rPr>
                              </m:ctrlPr>
                            </m:dPr>
                            <m:e>
                              <m:r>
                                <m:rPr>
                                  <m:sty m:val="p"/>
                                </m:rPr>
                                <w:rPr>
                                  <w:rFonts w:ascii="Cambria Math" w:eastAsia="MS Mincho" w:hAnsi="Cambria Math"/>
                                  <w:sz w:val="18"/>
                                </w:rPr>
                                <m:t>vt</m:t>
                              </m:r>
                            </m:e>
                          </m:d>
                        </m:e>
                        <m:sup>
                          <m:r>
                            <m:rPr>
                              <m:sty m:val="p"/>
                            </m:rPr>
                            <w:rPr>
                              <w:rFonts w:ascii="Cambria Math" w:eastAsia="MS Mincho" w:hAnsi="Cambria Math"/>
                              <w:sz w:val="18"/>
                            </w:rPr>
                            <m:t>2</m:t>
                          </m:r>
                        </m:sup>
                      </m:sSup>
                    </m:e>
                  </m:rad>
                </m:den>
              </m:f>
              <m:r>
                <m:rPr>
                  <m:sty m:val="p"/>
                </m:rPr>
                <w:rPr>
                  <w:rFonts w:ascii="Cambria Math" w:eastAsia="MS Mincho" w:hAnsi="Cambria Math"/>
                  <w:sz w:val="18"/>
                </w:rPr>
                <m:t>,  </m:t>
              </m:r>
              <m:sSub>
                <m:sSubPr>
                  <m:ctrlPr>
                    <w:rPr>
                      <w:rFonts w:ascii="Cambria Math" w:eastAsia="MS Mincho" w:hAnsi="Cambria Math"/>
                      <w:sz w:val="18"/>
                    </w:rPr>
                  </m:ctrlPr>
                </m:sSubPr>
                <m:e>
                  <m:r>
                    <m:rPr>
                      <m:sty m:val="p"/>
                    </m:rPr>
                    <w:rPr>
                      <w:rFonts w:ascii="Cambria Math" w:eastAsia="MS Mincho" w:hAnsi="Cambria Math"/>
                      <w:sz w:val="18"/>
                    </w:rPr>
                    <m:t>(0.5*D</m:t>
                  </m:r>
                </m:e>
                <m:sub>
                  <m:r>
                    <m:rPr>
                      <m:sty m:val="p"/>
                    </m:rPr>
                    <w:rPr>
                      <w:rFonts w:ascii="Cambria Math" w:eastAsia="MS Mincho" w:hAnsi="Cambria Math"/>
                      <w:sz w:val="18"/>
                    </w:rPr>
                    <m:t>s</m:t>
                  </m:r>
                </m:sub>
              </m:sSub>
              <m:r>
                <m:rPr>
                  <m:sty m:val="p"/>
                </m:rPr>
                <w:rPr>
                  <w:rFonts w:ascii="Cambria Math" w:eastAsia="MS Mincho" w:hAnsi="Cambria Math"/>
                  <w:sz w:val="18"/>
                </w:rPr>
                <m:t>)/v&lt;</m:t>
              </m:r>
              <m:r>
                <m:rPr>
                  <m:sty m:val="p"/>
                </m:rPr>
                <w:rPr>
                  <w:rFonts w:ascii="Cambria Math" w:eastAsia="MS Mincho" w:hAnsi="Cambria Math" w:hint="eastAsia"/>
                  <w:sz w:val="18"/>
                </w:rPr>
                <m:t>t</m:t>
              </m:r>
              <m:r>
                <m:rPr>
                  <m:sty m:val="p"/>
                </m:rPr>
                <w:rPr>
                  <w:rFonts w:ascii="Cambria Math" w:eastAsia="MS Mincho" w:hAnsi="Cambria Math" w:hint="eastAsia"/>
                  <w:sz w:val="18"/>
                </w:rPr>
                <m:t>≤</m:t>
              </m:r>
              <m:sSub>
                <m:sSubPr>
                  <m:ctrlPr>
                    <w:rPr>
                      <w:rFonts w:ascii="Cambria Math" w:eastAsia="MS Mincho" w:hAnsi="Cambria Math"/>
                      <w:sz w:val="18"/>
                    </w:rPr>
                  </m:ctrlPr>
                </m:sSubPr>
                <m:e>
                  <m:r>
                    <m:rPr>
                      <m:sty m:val="p"/>
                    </m:rPr>
                    <w:rPr>
                      <w:rFonts w:ascii="Cambria Math" w:eastAsia="MS Mincho" w:hAnsi="Cambria Math"/>
                      <w:sz w:val="18"/>
                    </w:rPr>
                    <m:t>D</m:t>
                  </m:r>
                </m:e>
                <m:sub>
                  <m:r>
                    <m:rPr>
                      <m:sty m:val="p"/>
                    </m:rPr>
                    <w:rPr>
                      <w:rFonts w:ascii="Cambria Math" w:eastAsia="MS Mincho" w:hAnsi="Cambria Math"/>
                      <w:sz w:val="18"/>
                    </w:rPr>
                    <m:t>s</m:t>
                  </m:r>
                </m:sub>
              </m:sSub>
              <m:r>
                <m:rPr>
                  <m:sty m:val="p"/>
                </m:rPr>
                <w:rPr>
                  <w:rFonts w:ascii="Cambria Math" w:eastAsia="MS Mincho" w:hAnsi="Cambria Math"/>
                  <w:sz w:val="18"/>
                </w:rPr>
                <m:t>/v </m:t>
              </m:r>
            </m:oMath>
          </w:p>
          <w:p w14:paraId="48E44618" w14:textId="2C38CCB9" w:rsidR="00EB446E" w:rsidRPr="00EB446E" w:rsidRDefault="00EB446E" w:rsidP="00EB446E">
            <w:pPr>
              <w:numPr>
                <w:ilvl w:val="3"/>
                <w:numId w:val="15"/>
              </w:numPr>
              <w:contextualSpacing/>
              <w:textAlignment w:val="bottom"/>
              <w:rPr>
                <w:rFonts w:eastAsia="MS Mincho"/>
                <w:sz w:val="18"/>
                <w:szCs w:val="24"/>
              </w:rPr>
            </w:pPr>
            <m:oMath>
              <m:r>
                <m:rPr>
                  <m:sty m:val="p"/>
                </m:rPr>
                <w:rPr>
                  <w:rFonts w:ascii="Cambria Math" w:eastAsia="MS Mincho" w:hAnsi="Cambria Math"/>
                  <w:sz w:val="18"/>
                </w:rPr>
                <m:t>cosθ</m:t>
              </m:r>
              <m:d>
                <m:dPr>
                  <m:ctrlPr>
                    <w:rPr>
                      <w:rFonts w:ascii="Cambria Math" w:eastAsia="MS Mincho" w:hAnsi="Cambria Math"/>
                      <w:sz w:val="18"/>
                    </w:rPr>
                  </m:ctrlPr>
                </m:dPr>
                <m:e>
                  <m:r>
                    <m:rPr>
                      <m:sty m:val="p"/>
                    </m:rPr>
                    <w:rPr>
                      <w:rFonts w:ascii="Cambria Math" w:eastAsia="MS Mincho" w:hAnsi="Cambria Math"/>
                      <w:sz w:val="18"/>
                    </w:rPr>
                    <m:t>t mod</m:t>
                  </m:r>
                  <m:d>
                    <m:dPr>
                      <m:ctrlPr>
                        <w:rPr>
                          <w:rFonts w:ascii="Cambria Math" w:eastAsia="MS Mincho" w:hAnsi="Cambria Math"/>
                          <w:sz w:val="18"/>
                        </w:rPr>
                      </m:ctrlPr>
                    </m:dPr>
                    <m:e>
                      <m:f>
                        <m:fPr>
                          <m:ctrlPr>
                            <w:rPr>
                              <w:rFonts w:ascii="Cambria Math" w:eastAsia="MS Mincho" w:hAnsi="Cambria Math"/>
                              <w:sz w:val="18"/>
                            </w:rPr>
                          </m:ctrlPr>
                        </m:fPr>
                        <m:num>
                          <m:sSub>
                            <m:sSubPr>
                              <m:ctrlPr>
                                <w:rPr>
                                  <w:rFonts w:ascii="Cambria Math" w:eastAsia="MS Mincho" w:hAnsi="Cambria Math"/>
                                  <w:sz w:val="18"/>
                                </w:rPr>
                              </m:ctrlPr>
                            </m:sSubPr>
                            <m:e>
                              <m:r>
                                <m:rPr>
                                  <m:sty m:val="p"/>
                                </m:rPr>
                                <w:rPr>
                                  <w:rFonts w:ascii="Cambria Math" w:eastAsia="MS Mincho" w:hAnsi="Cambria Math"/>
                                  <w:sz w:val="18"/>
                                </w:rPr>
                                <m:t>D</m:t>
                              </m:r>
                            </m:e>
                            <m:sub>
                              <m:r>
                                <m:rPr>
                                  <m:sty m:val="p"/>
                                </m:rPr>
                                <w:rPr>
                                  <w:rFonts w:ascii="Cambria Math" w:eastAsia="MS Mincho" w:hAnsi="Cambria Math"/>
                                  <w:sz w:val="18"/>
                                </w:rPr>
                                <m:t>s</m:t>
                              </m:r>
                            </m:sub>
                          </m:sSub>
                        </m:num>
                        <m:den>
                          <m:r>
                            <m:rPr>
                              <m:sty m:val="p"/>
                            </m:rPr>
                            <w:rPr>
                              <w:rFonts w:ascii="Cambria Math" w:eastAsia="MS Mincho" w:hAnsi="Cambria Math"/>
                              <w:sz w:val="18"/>
                            </w:rPr>
                            <m:t>v</m:t>
                          </m:r>
                        </m:den>
                      </m:f>
                    </m:e>
                  </m:d>
                </m:e>
              </m:d>
              <m:r>
                <m:rPr>
                  <m:sty m:val="p"/>
                </m:rPr>
                <w:rPr>
                  <w:rFonts w:ascii="Cambria Math" w:eastAsia="MS Mincho" w:hAnsi="Cambria Math"/>
                  <w:sz w:val="18"/>
                </w:rPr>
                <m:t>,    t&gt;</m:t>
              </m:r>
              <m:sSub>
                <m:sSubPr>
                  <m:ctrlPr>
                    <w:rPr>
                      <w:rFonts w:ascii="Cambria Math" w:eastAsia="MS Mincho" w:hAnsi="Cambria Math"/>
                      <w:sz w:val="18"/>
                    </w:rPr>
                  </m:ctrlPr>
                </m:sSubPr>
                <m:e>
                  <m:r>
                    <m:rPr>
                      <m:sty m:val="p"/>
                    </m:rPr>
                    <w:rPr>
                      <w:rFonts w:ascii="Cambria Math" w:eastAsia="MS Mincho" w:hAnsi="Cambria Math"/>
                      <w:sz w:val="18"/>
                    </w:rPr>
                    <m:t>D</m:t>
                  </m:r>
                </m:e>
                <m:sub>
                  <m:r>
                    <m:rPr>
                      <m:sty m:val="p"/>
                    </m:rPr>
                    <w:rPr>
                      <w:rFonts w:ascii="Cambria Math" w:eastAsia="MS Mincho" w:hAnsi="Cambria Math"/>
                      <w:sz w:val="18"/>
                    </w:rPr>
                    <m:t>s</m:t>
                  </m:r>
                </m:sub>
              </m:sSub>
              <m:r>
                <m:rPr>
                  <m:sty m:val="p"/>
                </m:rPr>
                <w:rPr>
                  <w:rFonts w:ascii="Cambria Math" w:eastAsia="MS Mincho" w:hAnsi="Cambria Math"/>
                  <w:sz w:val="18"/>
                </w:rPr>
                <m:t>/v</m:t>
              </m:r>
            </m:oMath>
          </w:p>
          <w:p w14:paraId="7117EBC3" w14:textId="77777777" w:rsidR="00EB446E" w:rsidRDefault="00EB446E" w:rsidP="00EB446E">
            <w:pPr>
              <w:ind w:left="852"/>
              <w:rPr>
                <w:rFonts w:eastAsia="等线"/>
              </w:rPr>
            </w:pPr>
            <w:r w:rsidRPr="008960A2">
              <w:rPr>
                <w:rFonts w:eastAsia="等线"/>
                <w:highlight w:val="green"/>
              </w:rPr>
              <w:t>Agreement</w:t>
            </w:r>
            <w:r>
              <w:rPr>
                <w:rFonts w:eastAsia="等线"/>
                <w:highlight w:val="green"/>
              </w:rPr>
              <w:t xml:space="preserve"> (achieved in this WF)</w:t>
            </w:r>
            <w:r w:rsidRPr="008960A2">
              <w:rPr>
                <w:rFonts w:eastAsia="等线"/>
                <w:highlight w:val="green"/>
              </w:rPr>
              <w:t>:</w:t>
            </w:r>
            <w:r>
              <w:rPr>
                <w:rFonts w:eastAsia="等线"/>
              </w:rPr>
              <w:t xml:space="preserve"> </w:t>
            </w:r>
          </w:p>
          <w:p w14:paraId="3DBC8563" w14:textId="77777777" w:rsidR="00EB446E" w:rsidRPr="00483347" w:rsidRDefault="00EB446E" w:rsidP="00EB446E">
            <w:pPr>
              <w:ind w:left="852"/>
              <w:contextualSpacing/>
              <w:textAlignment w:val="bottom"/>
              <w:rPr>
                <w:rFonts w:eastAsia="MS Mincho"/>
                <w:szCs w:val="28"/>
                <w:highlight w:val="green"/>
              </w:rPr>
            </w:pPr>
            <w:r w:rsidRPr="00483347">
              <w:rPr>
                <w:rFonts w:eastAsia="MS Mincho" w:hint="eastAsia"/>
                <w:szCs w:val="28"/>
                <w:highlight w:val="green"/>
              </w:rPr>
              <w:t>Companies ar</w:t>
            </w:r>
            <w:r w:rsidRPr="00483347">
              <w:rPr>
                <w:rFonts w:eastAsia="MS Mincho"/>
                <w:szCs w:val="28"/>
                <w:highlight w:val="green"/>
              </w:rPr>
              <w:t>e</w:t>
            </w:r>
            <w:r w:rsidRPr="00483347">
              <w:rPr>
                <w:rFonts w:eastAsia="MS Mincho" w:hint="eastAsia"/>
                <w:szCs w:val="28"/>
                <w:highlight w:val="green"/>
              </w:rPr>
              <w:t xml:space="preserve"> encouraged to draw conclusion in this meeting for RAN4 demodulation aspect.</w:t>
            </w:r>
          </w:p>
          <w:p w14:paraId="0455F006" w14:textId="77777777" w:rsidR="00EB446E" w:rsidRPr="00483347" w:rsidRDefault="00EB446E" w:rsidP="00EB446E">
            <w:pPr>
              <w:ind w:left="852"/>
              <w:contextualSpacing/>
              <w:textAlignment w:val="bottom"/>
              <w:rPr>
                <w:rFonts w:eastAsia="MS Mincho"/>
                <w:szCs w:val="28"/>
                <w:highlight w:val="green"/>
              </w:rPr>
            </w:pPr>
            <w:r w:rsidRPr="00483347">
              <w:rPr>
                <w:rFonts w:eastAsia="MS Mincho"/>
                <w:szCs w:val="28"/>
                <w:highlight w:val="green"/>
              </w:rPr>
              <w:t>All feasible transmission schemes with assioated channel modelling can be included into TR.</w:t>
            </w:r>
          </w:p>
          <w:p w14:paraId="6FE5CD79" w14:textId="77777777" w:rsidR="00EB446E" w:rsidRPr="00483347" w:rsidRDefault="00EB446E" w:rsidP="00EB446E">
            <w:pPr>
              <w:ind w:left="852"/>
              <w:contextualSpacing/>
              <w:textAlignment w:val="bottom"/>
              <w:rPr>
                <w:rFonts w:eastAsia="MS Mincho"/>
                <w:szCs w:val="28"/>
                <w:highlight w:val="green"/>
              </w:rPr>
            </w:pPr>
          </w:p>
          <w:p w14:paraId="5E089D1B" w14:textId="77777777" w:rsidR="00EB446E" w:rsidRPr="00483347" w:rsidRDefault="00EB446E" w:rsidP="00EB446E">
            <w:pPr>
              <w:ind w:left="852"/>
              <w:contextualSpacing/>
              <w:textAlignment w:val="bottom"/>
              <w:rPr>
                <w:rFonts w:eastAsia="MS Mincho"/>
                <w:szCs w:val="28"/>
                <w:highlight w:val="green"/>
              </w:rPr>
            </w:pPr>
            <w:r w:rsidRPr="00483347">
              <w:rPr>
                <w:rFonts w:eastAsia="MS Mincho" w:hint="eastAsia"/>
                <w:szCs w:val="28"/>
                <w:highlight w:val="green"/>
              </w:rPr>
              <w:t xml:space="preserve">The baseline assumption was to consider option 2a for demodulation if </w:t>
            </w:r>
            <w:r w:rsidRPr="00483347">
              <w:rPr>
                <w:rFonts w:eastAsia="MS Mincho"/>
                <w:szCs w:val="28"/>
                <w:highlight w:val="green"/>
              </w:rPr>
              <w:t>introducing</w:t>
            </w:r>
            <w:r w:rsidRPr="00483347">
              <w:rPr>
                <w:rFonts w:eastAsia="MS Mincho" w:hint="eastAsia"/>
                <w:szCs w:val="28"/>
                <w:highlight w:val="green"/>
              </w:rPr>
              <w:t xml:space="preserve"> </w:t>
            </w:r>
            <w:r w:rsidRPr="00483347">
              <w:rPr>
                <w:rFonts w:eastAsia="MS Mincho"/>
                <w:szCs w:val="28"/>
                <w:highlight w:val="green"/>
              </w:rPr>
              <w:t>test cases</w:t>
            </w:r>
            <w:r w:rsidRPr="00483347">
              <w:rPr>
                <w:rFonts w:eastAsia="MS Mincho" w:hint="eastAsia"/>
                <w:szCs w:val="28"/>
                <w:highlight w:val="green"/>
              </w:rPr>
              <w:t xml:space="preserve"> pending on further checking </w:t>
            </w:r>
            <w:r w:rsidRPr="00483347">
              <w:rPr>
                <w:rFonts w:eastAsia="MS Mincho"/>
                <w:szCs w:val="28"/>
                <w:highlight w:val="green"/>
              </w:rPr>
              <w:t>by Nov 2021 RAN4 meeting.</w:t>
            </w:r>
          </w:p>
          <w:p w14:paraId="0B800248" w14:textId="77777777" w:rsidR="00EB446E" w:rsidRPr="00483347" w:rsidRDefault="00EB446E" w:rsidP="00EB446E">
            <w:pPr>
              <w:spacing w:after="120"/>
              <w:ind w:left="1212"/>
              <w:contextualSpacing/>
              <w:textAlignment w:val="bottom"/>
              <w:rPr>
                <w:rFonts w:eastAsia="MS Mincho"/>
                <w:szCs w:val="28"/>
              </w:rPr>
            </w:pPr>
            <w:r w:rsidRPr="00483347">
              <w:rPr>
                <w:rFonts w:eastAsia="MS Mincho"/>
                <w:szCs w:val="28"/>
                <w:highlight w:val="green"/>
              </w:rPr>
              <w:t>-Note: From frequency jump performance verification aspect, option 2a is more simple option.</w:t>
            </w:r>
          </w:p>
          <w:p w14:paraId="24247170" w14:textId="77777777" w:rsidR="00C414EC" w:rsidRDefault="00C414EC" w:rsidP="00C414EC">
            <w:pPr>
              <w:rPr>
                <w:rFonts w:asciiTheme="minorHAnsi" w:hAnsiTheme="minorHAnsi" w:cstheme="minorHAnsi"/>
                <w:lang w:eastAsia="zh-CN"/>
              </w:rPr>
            </w:pPr>
          </w:p>
        </w:tc>
      </w:tr>
    </w:tbl>
    <w:p w14:paraId="415910E3" w14:textId="77777777" w:rsidR="00C414EC" w:rsidRDefault="00C414EC" w:rsidP="00C414EC">
      <w:pPr>
        <w:rPr>
          <w:rFonts w:asciiTheme="minorHAnsi" w:hAnsiTheme="minorHAnsi" w:cstheme="minorHAnsi"/>
          <w:lang w:eastAsia="zh-CN"/>
        </w:rPr>
      </w:pPr>
    </w:p>
    <w:p w14:paraId="2868420D" w14:textId="15251A70" w:rsidR="009964A3" w:rsidRDefault="009964A3" w:rsidP="00AF1433">
      <w:pPr>
        <w:rPr>
          <w:rFonts w:asciiTheme="minorHAnsi" w:hAnsiTheme="minorHAnsi" w:cstheme="minorHAnsi"/>
          <w:lang w:eastAsia="zh-CN"/>
        </w:rPr>
      </w:pPr>
      <w:r>
        <w:rPr>
          <w:rFonts w:asciiTheme="minorHAnsi" w:hAnsiTheme="minorHAnsi" w:cstheme="minorHAnsi"/>
          <w:lang w:eastAsia="zh-CN"/>
        </w:rPr>
        <w:t>From the above both cases, the data link can be mai</w:t>
      </w:r>
      <w:r w:rsidR="00C414EC">
        <w:rPr>
          <w:rFonts w:asciiTheme="minorHAnsi" w:hAnsiTheme="minorHAnsi" w:cstheme="minorHAnsi"/>
          <w:lang w:eastAsia="zh-CN"/>
        </w:rPr>
        <w:t xml:space="preserve">ntained between gNB and UE, and it can identified that the range in elevation direction is very limited, and the range in azimuth direction </w:t>
      </w:r>
      <w:r w:rsidR="00EB446E">
        <w:rPr>
          <w:rFonts w:asciiTheme="minorHAnsi" w:hAnsiTheme="minorHAnsi" w:cstheme="minorHAnsi"/>
          <w:lang w:eastAsia="zh-CN"/>
        </w:rPr>
        <w:t xml:space="preserve">can be derived for the worst case: UE in the middle point between two neighboring RRH sites for Scenario-B, which requires the azimuth direction of 23.2 degrees. Therefore, we propose the range of spherical coverage for FR2 HST UE as: </w:t>
      </w:r>
    </w:p>
    <w:p w14:paraId="33047AEC" w14:textId="1A657CE6" w:rsidR="00EB446E" w:rsidRDefault="00EB446E" w:rsidP="00EB446E">
      <w:pPr>
        <w:rPr>
          <w:rFonts w:asciiTheme="minorHAnsi" w:hAnsiTheme="minorHAnsi" w:cstheme="minorHAnsi"/>
          <w:b/>
          <w:lang w:val="en-US" w:eastAsia="zh-CN"/>
        </w:rPr>
      </w:pPr>
      <w:r w:rsidRPr="00C52135">
        <w:rPr>
          <w:rFonts w:asciiTheme="minorHAnsi" w:hAnsiTheme="minorHAnsi" w:cstheme="minorHAnsi"/>
          <w:b/>
          <w:lang w:val="en-US" w:eastAsia="zh-CN"/>
        </w:rPr>
        <w:t>Proposal-</w:t>
      </w:r>
      <w:r>
        <w:rPr>
          <w:rFonts w:asciiTheme="minorHAnsi" w:hAnsiTheme="minorHAnsi" w:cstheme="minorHAnsi"/>
          <w:b/>
          <w:lang w:val="en-US" w:eastAsia="zh-CN"/>
        </w:rPr>
        <w:t>3</w:t>
      </w:r>
      <w:r w:rsidRPr="00C52135">
        <w:rPr>
          <w:rFonts w:asciiTheme="minorHAnsi" w:hAnsiTheme="minorHAnsi" w:cstheme="minorHAnsi"/>
          <w:b/>
          <w:lang w:val="en-US" w:eastAsia="zh-CN"/>
        </w:rPr>
        <w:t xml:space="preserve">: </w:t>
      </w:r>
      <w:r>
        <w:rPr>
          <w:rFonts w:asciiTheme="minorHAnsi" w:hAnsiTheme="minorHAnsi" w:cstheme="minorHAnsi"/>
          <w:b/>
          <w:lang w:val="en-US" w:eastAsia="zh-CN"/>
        </w:rPr>
        <w:t>For the area to be verified in FR2 HST spherical coverage requirement framework, it is proposed to use:</w:t>
      </w:r>
    </w:p>
    <w:p w14:paraId="121E9BC8" w14:textId="0301C7E1" w:rsidR="00EB446E" w:rsidRDefault="00EB446E" w:rsidP="00EB446E">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range [</w:t>
      </w:r>
      <w:r w:rsidR="00D26F94">
        <w:rPr>
          <w:rFonts w:asciiTheme="minorHAnsi" w:hAnsiTheme="minorHAnsi" w:cstheme="minorHAnsi"/>
          <w:b/>
          <w:lang w:val="en-US" w:eastAsia="zh-CN"/>
        </w:rPr>
        <w:t xml:space="preserve">theta_1 = </w:t>
      </w:r>
      <w:r>
        <w:rPr>
          <w:rFonts w:asciiTheme="minorHAnsi" w:hAnsiTheme="minorHAnsi" w:cstheme="minorHAnsi"/>
          <w:b/>
          <w:lang w:val="en-US" w:eastAsia="zh-CN"/>
        </w:rPr>
        <w:t>-</w:t>
      </w:r>
      <w:r w:rsidR="001449F0">
        <w:rPr>
          <w:rFonts w:asciiTheme="minorHAnsi" w:hAnsiTheme="minorHAnsi" w:cstheme="minorHAnsi"/>
          <w:b/>
          <w:lang w:val="en-US" w:eastAsia="zh-CN"/>
        </w:rPr>
        <w:t>10</w:t>
      </w:r>
      <w:r>
        <w:rPr>
          <w:rFonts w:asciiTheme="minorHAnsi" w:hAnsiTheme="minorHAnsi" w:cstheme="minorHAnsi"/>
          <w:b/>
          <w:lang w:val="en-US" w:eastAsia="zh-CN"/>
        </w:rPr>
        <w:t xml:space="preserve"> degree, </w:t>
      </w:r>
      <w:r w:rsidR="00D26F94">
        <w:rPr>
          <w:rFonts w:asciiTheme="minorHAnsi" w:hAnsiTheme="minorHAnsi" w:cstheme="minorHAnsi"/>
          <w:b/>
          <w:lang w:val="en-US" w:eastAsia="zh-CN"/>
        </w:rPr>
        <w:t>theta_2 = +</w:t>
      </w:r>
      <w:r w:rsidR="001449F0">
        <w:rPr>
          <w:rFonts w:asciiTheme="minorHAnsi" w:hAnsiTheme="minorHAnsi" w:cstheme="minorHAnsi"/>
          <w:b/>
          <w:lang w:val="en-US" w:eastAsia="zh-CN"/>
        </w:rPr>
        <w:t>10</w:t>
      </w:r>
      <w:r>
        <w:rPr>
          <w:rFonts w:asciiTheme="minorHAnsi" w:hAnsiTheme="minorHAnsi" w:cstheme="minorHAnsi"/>
          <w:b/>
          <w:lang w:val="en-US" w:eastAsia="zh-CN"/>
        </w:rPr>
        <w:t xml:space="preserve"> degree] relative to the associated boresight direction (theta_boresight = 0) for elevation;</w:t>
      </w:r>
    </w:p>
    <w:p w14:paraId="3B4AF823" w14:textId="79AFDF73" w:rsidR="00EB446E" w:rsidRDefault="00EB446E" w:rsidP="00EB446E">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range [</w:t>
      </w:r>
      <w:r w:rsidR="00D26F94">
        <w:rPr>
          <w:rFonts w:asciiTheme="minorHAnsi" w:hAnsiTheme="minorHAnsi" w:cstheme="minorHAnsi"/>
          <w:b/>
          <w:lang w:val="en-US" w:eastAsia="zh-CN"/>
        </w:rPr>
        <w:t xml:space="preserve">phi_1 = </w:t>
      </w:r>
      <w:r>
        <w:rPr>
          <w:rFonts w:asciiTheme="minorHAnsi" w:hAnsiTheme="minorHAnsi" w:cstheme="minorHAnsi"/>
          <w:b/>
          <w:lang w:val="en-US" w:eastAsia="zh-CN"/>
        </w:rPr>
        <w:t>-</w:t>
      </w:r>
      <w:r w:rsidR="001449F0">
        <w:rPr>
          <w:rFonts w:asciiTheme="minorHAnsi" w:hAnsiTheme="minorHAnsi" w:cstheme="minorHAnsi"/>
          <w:b/>
          <w:lang w:val="en-US" w:eastAsia="zh-CN"/>
        </w:rPr>
        <w:t>25</w:t>
      </w:r>
      <w:r>
        <w:rPr>
          <w:rFonts w:asciiTheme="minorHAnsi" w:hAnsiTheme="minorHAnsi" w:cstheme="minorHAnsi"/>
          <w:b/>
          <w:lang w:val="en-US" w:eastAsia="zh-CN"/>
        </w:rPr>
        <w:t xml:space="preserve"> degree,</w:t>
      </w:r>
      <w:r w:rsidR="00D26F94">
        <w:rPr>
          <w:rFonts w:asciiTheme="minorHAnsi" w:hAnsiTheme="minorHAnsi" w:cstheme="minorHAnsi"/>
          <w:b/>
          <w:lang w:val="en-US" w:eastAsia="zh-CN"/>
        </w:rPr>
        <w:t xml:space="preserve"> phi_2 =</w:t>
      </w:r>
      <w:r>
        <w:rPr>
          <w:rFonts w:asciiTheme="minorHAnsi" w:hAnsiTheme="minorHAnsi" w:cstheme="minorHAnsi"/>
          <w:b/>
          <w:lang w:val="en-US" w:eastAsia="zh-CN"/>
        </w:rPr>
        <w:t xml:space="preserve"> +</w:t>
      </w:r>
      <w:r w:rsidR="001449F0">
        <w:rPr>
          <w:rFonts w:asciiTheme="minorHAnsi" w:hAnsiTheme="minorHAnsi" w:cstheme="minorHAnsi"/>
          <w:b/>
          <w:lang w:val="en-US" w:eastAsia="zh-CN"/>
        </w:rPr>
        <w:t>25</w:t>
      </w:r>
      <w:r>
        <w:rPr>
          <w:rFonts w:asciiTheme="minorHAnsi" w:hAnsiTheme="minorHAnsi" w:cstheme="minorHAnsi"/>
          <w:b/>
          <w:lang w:val="en-US" w:eastAsia="zh-CN"/>
        </w:rPr>
        <w:t xml:space="preserve"> degree] relative to the associated boresight direction (phi_boresight = 0) for azimuth. </w:t>
      </w:r>
    </w:p>
    <w:p w14:paraId="6582D306" w14:textId="58A23B9E" w:rsidR="00EB446E" w:rsidRDefault="00EB446E" w:rsidP="00EB446E">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Accordingly, the spherical coverage (by two UE panels) will be </w:t>
      </w:r>
    </w:p>
    <w:p w14:paraId="62D606B8" w14:textId="7AE1BA26" w:rsidR="00191981" w:rsidRPr="00693BF2" w:rsidRDefault="00191981" w:rsidP="00191981">
      <w:pPr>
        <w:pStyle w:val="ListParagraph"/>
        <w:ind w:left="720" w:firstLineChars="0" w:firstLine="0"/>
        <w:rPr>
          <w:rFonts w:asciiTheme="minorHAnsi" w:hAnsiTheme="minorHAnsi" w:cstheme="minorHAnsi" w:hint="eastAsia"/>
          <w:b/>
          <w:lang w:val="en-US" w:eastAsia="zh-CN"/>
        </w:rPr>
      </w:pPr>
      <m:oMathPara>
        <m:oMath>
          <m:f>
            <m:fPr>
              <m:ctrlPr>
                <w:rPr>
                  <w:rFonts w:ascii="Cambria Math" w:hAnsi="Cambria Math"/>
                  <w:i/>
                  <w:lang w:val="en-US" w:eastAsia="zh-TW"/>
                </w:rPr>
              </m:ctrlPr>
            </m:fPr>
            <m:num>
              <m:r>
                <w:rPr>
                  <w:rFonts w:ascii="Cambria Math" w:hAnsi="Cambria Math"/>
                  <w:lang w:val="en-US" w:eastAsia="zh-TW"/>
                </w:rPr>
                <m:t>2</m:t>
              </m:r>
              <m:r>
                <w:rPr>
                  <w:rFonts w:ascii="Cambria Math" w:hAnsi="Cambria Math"/>
                  <w:lang w:val="en-US" w:eastAsia="zh-TW"/>
                </w:rPr>
                <m:t>A</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m:t>
          </m:r>
          <m:r>
            <w:rPr>
              <w:rFonts w:ascii="Cambria Math" w:hAnsi="Cambria Math"/>
              <w:lang w:val="en-US" w:eastAsia="zh-TW"/>
            </w:rPr>
            <m:t>2</m:t>
          </m:r>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2π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r>
                <m:rPr>
                  <m:sty m:val="p"/>
                </m:rPr>
                <w:rPr>
                  <w:rFonts w:ascii="Cambria Math" w:hAnsi="Cambria Math"/>
                  <w:lang w:val="en-US" w:eastAsia="zh-TW"/>
                </w:rPr>
                <m:t>[</m:t>
              </m:r>
              <m:func>
                <m:funcPr>
                  <m:ctrlPr>
                    <w:rPr>
                      <w:rFonts w:ascii="Cambria Math" w:hAnsi="Cambria Math"/>
                      <w:lang w:val="en-US" w:eastAsia="zh-TW"/>
                    </w:rPr>
                  </m:ctrlPr>
                </m:funcPr>
                <m:fName>
                  <m:r>
                    <m:rPr>
                      <m:sty m:val="p"/>
                    </m:rPr>
                    <w:rPr>
                      <w:rFonts w:ascii="Cambria Math" w:hAnsi="Cambria Math"/>
                      <w:lang w:val="en-US" w:eastAsia="zh-TW"/>
                    </w:rPr>
                    <m:t>sin</m:t>
                  </m:r>
                </m:fName>
                <m:e>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2</m:t>
                          </m:r>
                        </m:sub>
                      </m:sSub>
                    </m:e>
                  </m:d>
                </m:e>
              </m:func>
              <m:r>
                <w:rPr>
                  <w:rFonts w:ascii="Cambria Math" w:hAnsi="Cambria Math"/>
                  <w:lang w:val="en-US" w:eastAsia="zh-TW"/>
                </w:rPr>
                <m:t>-</m:t>
              </m:r>
              <m:func>
                <m:funcPr>
                  <m:ctrlPr>
                    <w:rPr>
                      <w:rFonts w:ascii="Cambria Math" w:hAnsi="Cambria Math"/>
                      <w:lang w:val="en-US" w:eastAsia="zh-TW"/>
                    </w:rPr>
                  </m:ctrlPr>
                </m:funcPr>
                <m:fName>
                  <m:r>
                    <m:rPr>
                      <m:sty m:val="p"/>
                    </m:rPr>
                    <w:rPr>
                      <w:rFonts w:ascii="Cambria Math" w:hAnsi="Cambria Math"/>
                      <w:lang w:val="en-US" w:eastAsia="zh-TW"/>
                    </w:rPr>
                    <m:t>sin</m:t>
                  </m:r>
                </m:fName>
                <m:e>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1</m:t>
                          </m:r>
                        </m:sub>
                      </m:sSub>
                    </m:e>
                  </m:d>
                </m:e>
              </m:func>
              <m:r>
                <m:rPr>
                  <m:sty m:val="p"/>
                </m:rPr>
                <w:rPr>
                  <w:rFonts w:ascii="Cambria Math" w:hAnsi="Cambria Math"/>
                  <w:lang w:val="en-US" w:eastAsia="zh-TW"/>
                </w:rPr>
                <m:t>]</m:t>
              </m:r>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2</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1</m:t>
                      </m:r>
                    </m:sub>
                  </m:sSub>
                  <m:r>
                    <w:rPr>
                      <w:rFonts w:ascii="Cambria Math" w:hAnsi="Cambria Math"/>
                      <w:lang w:val="en-US" w:eastAsia="zh-TW"/>
                    </w:rPr>
                    <m:t>)</m:t>
                  </m:r>
                </m:num>
                <m:den>
                  <m:r>
                    <w:rPr>
                      <w:rFonts w:ascii="Cambria Math" w:hAnsi="Cambria Math"/>
                      <w:lang w:val="en-US" w:eastAsia="zh-TW"/>
                    </w:rPr>
                    <m:t>360</m:t>
                  </m:r>
                </m:den>
              </m:f>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≈5%</m:t>
          </m:r>
        </m:oMath>
      </m:oMathPara>
    </w:p>
    <w:p w14:paraId="6529F8FE" w14:textId="77777777" w:rsidR="00AF1433" w:rsidRPr="00EB446E" w:rsidRDefault="00AF1433" w:rsidP="00AF1433">
      <w:pPr>
        <w:rPr>
          <w:rFonts w:asciiTheme="minorHAnsi" w:hAnsiTheme="minorHAnsi" w:cstheme="minorHAnsi"/>
          <w:b/>
          <w:lang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312B83FD"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191981">
        <w:rPr>
          <w:rFonts w:asciiTheme="minorHAnsi" w:hAnsiTheme="minorHAnsi" w:cstheme="minorHAnsi"/>
        </w:rPr>
        <w:t xml:space="preserve">spherical coverage requirement for train-roof-mounted UE in the </w:t>
      </w:r>
      <w:r w:rsidRPr="00931B8C">
        <w:rPr>
          <w:rFonts w:asciiTheme="minorHAnsi" w:hAnsiTheme="minorHAnsi" w:cstheme="minorHAnsi"/>
        </w:rPr>
        <w:t xml:space="preserve">high speed train deployment scenario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5B89FEAA" w14:textId="77777777" w:rsidR="00191981" w:rsidRPr="00C52135" w:rsidRDefault="00191981" w:rsidP="00191981">
      <w:pPr>
        <w:rPr>
          <w:rFonts w:asciiTheme="minorHAnsi" w:hAnsiTheme="minorHAnsi" w:cstheme="minorHAnsi" w:hint="eastAsia"/>
          <w:b/>
          <w:lang w:val="en-US" w:eastAsia="zh-CN"/>
        </w:rPr>
      </w:pPr>
      <w:r w:rsidRPr="00C52135">
        <w:rPr>
          <w:rFonts w:asciiTheme="minorHAnsi" w:hAnsiTheme="minorHAnsi" w:cstheme="minorHAnsi"/>
          <w:b/>
          <w:lang w:val="en-US" w:eastAsia="zh-CN"/>
        </w:rPr>
        <w:lastRenderedPageBreak/>
        <w:t xml:space="preserve">Proposal-1: If a unified requirement for both Scenario-A and B is agreed, bi-directional deployment in Scenario-B can be regarded as the baseline </w:t>
      </w:r>
      <w:r w:rsidRPr="00C52135">
        <w:rPr>
          <w:rFonts w:asciiTheme="minorHAnsi" w:hAnsiTheme="minorHAnsi" w:cstheme="minorHAnsi" w:hint="eastAsia"/>
          <w:b/>
          <w:lang w:val="en-US" w:eastAsia="zh-CN"/>
        </w:rPr>
        <w:t>t</w:t>
      </w:r>
      <w:r w:rsidRPr="00C52135">
        <w:rPr>
          <w:rFonts w:asciiTheme="minorHAnsi" w:hAnsiTheme="minorHAnsi" w:cstheme="minorHAnsi"/>
          <w:b/>
          <w:lang w:val="en-US" w:eastAsia="zh-CN"/>
        </w:rPr>
        <w:t xml:space="preserve">o define UE spherical coverage requirement. </w:t>
      </w:r>
    </w:p>
    <w:p w14:paraId="5B6526B7" w14:textId="77777777" w:rsidR="00191981" w:rsidRDefault="00191981" w:rsidP="00191981">
      <w:pPr>
        <w:rPr>
          <w:rFonts w:asciiTheme="minorHAnsi" w:hAnsiTheme="minorHAnsi" w:cstheme="minorHAnsi"/>
          <w:b/>
          <w:lang w:val="en-US" w:eastAsia="zh-CN"/>
        </w:rPr>
      </w:pPr>
      <w:r w:rsidRPr="00C52135">
        <w:rPr>
          <w:rFonts w:asciiTheme="minorHAnsi" w:hAnsiTheme="minorHAnsi" w:cstheme="minorHAnsi"/>
          <w:b/>
          <w:lang w:val="en-US" w:eastAsia="zh-CN"/>
        </w:rPr>
        <w:t>Proposal-</w:t>
      </w:r>
      <w:r>
        <w:rPr>
          <w:rFonts w:asciiTheme="minorHAnsi" w:hAnsiTheme="minorHAnsi" w:cstheme="minorHAnsi"/>
          <w:b/>
          <w:lang w:val="en-US" w:eastAsia="zh-CN"/>
        </w:rPr>
        <w:t>2</w:t>
      </w:r>
      <w:r w:rsidRPr="00C52135">
        <w:rPr>
          <w:rFonts w:asciiTheme="minorHAnsi" w:hAnsiTheme="minorHAnsi" w:cstheme="minorHAnsi"/>
          <w:b/>
          <w:lang w:val="en-US" w:eastAsia="zh-CN"/>
        </w:rPr>
        <w:t xml:space="preserve">: </w:t>
      </w:r>
      <w:r>
        <w:rPr>
          <w:rFonts w:asciiTheme="minorHAnsi" w:hAnsiTheme="minorHAnsi" w:cstheme="minorHAnsi"/>
          <w:b/>
          <w:lang w:val="en-US" w:eastAsia="zh-CN"/>
        </w:rPr>
        <w:t xml:space="preserve">In the new spherical coverage requirement framework, </w:t>
      </w:r>
    </w:p>
    <w:p w14:paraId="528B0F4C" w14:textId="77777777" w:rsidR="00191981" w:rsidRDefault="00191981" w:rsidP="00191981">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Two boresight directions for forward and backward shall be declared by UE vendors;</w:t>
      </w:r>
    </w:p>
    <w:p w14:paraId="3BD6C820" w14:textId="77777777" w:rsidR="00191981" w:rsidRDefault="00191981" w:rsidP="00191981">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spherical coverage requirement is</w:t>
      </w:r>
      <w:r w:rsidRPr="00693BF2">
        <w:rPr>
          <w:rFonts w:asciiTheme="minorHAnsi" w:hAnsiTheme="minorHAnsi" w:cstheme="minorHAnsi"/>
          <w:b/>
          <w:lang w:val="en-US" w:eastAsia="zh-CN"/>
        </w:rPr>
        <w:t xml:space="preserve"> </w:t>
      </w:r>
      <w:r>
        <w:rPr>
          <w:rFonts w:asciiTheme="minorHAnsi" w:hAnsiTheme="minorHAnsi" w:cstheme="minorHAnsi"/>
          <w:b/>
          <w:lang w:val="en-US" w:eastAsia="zh-CN"/>
        </w:rPr>
        <w:t xml:space="preserve">verified on the </w:t>
      </w:r>
      <w:r>
        <w:rPr>
          <w:rFonts w:asciiTheme="minorEastAsia" w:eastAsiaTheme="minorEastAsia" w:hAnsiTheme="minorEastAsia" w:cstheme="minorHAnsi" w:hint="eastAsia"/>
          <w:b/>
          <w:lang w:val="en-US" w:eastAsia="zh-CN"/>
        </w:rPr>
        <w:t>are</w:t>
      </w:r>
      <w:r>
        <w:rPr>
          <w:rFonts w:asciiTheme="minorHAnsi" w:hAnsiTheme="minorHAnsi" w:cstheme="minorHAnsi"/>
          <w:b/>
          <w:lang w:val="en-US" w:eastAsia="zh-CN"/>
        </w:rPr>
        <w:t xml:space="preserve">as w.r.t two boresight directions respectively, and each area is defined as: </w:t>
      </w:r>
    </w:p>
    <w:p w14:paraId="39C85495" w14:textId="77777777" w:rsidR="00191981" w:rsidRDefault="00191981" w:rsidP="00191981">
      <w:pPr>
        <w:pStyle w:val="ListParagraph"/>
        <w:numPr>
          <w:ilvl w:val="1"/>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range [theta_1, theta_2] relative to the associated boresight direction (theta_boresight = 0) for elevation;</w:t>
      </w:r>
    </w:p>
    <w:p w14:paraId="5561B39E" w14:textId="77777777" w:rsidR="00191981" w:rsidRPr="00693BF2" w:rsidRDefault="00191981" w:rsidP="00191981">
      <w:pPr>
        <w:pStyle w:val="ListParagraph"/>
        <w:numPr>
          <w:ilvl w:val="1"/>
          <w:numId w:val="13"/>
        </w:numPr>
        <w:ind w:firstLineChars="0"/>
        <w:rPr>
          <w:rFonts w:asciiTheme="minorHAnsi" w:hAnsiTheme="minorHAnsi" w:cstheme="minorHAnsi" w:hint="eastAsia"/>
          <w:b/>
          <w:lang w:val="en-US" w:eastAsia="zh-CN"/>
        </w:rPr>
      </w:pPr>
      <w:r>
        <w:rPr>
          <w:rFonts w:asciiTheme="minorHAnsi" w:hAnsiTheme="minorHAnsi" w:cstheme="minorHAnsi"/>
          <w:b/>
          <w:lang w:val="en-US" w:eastAsia="zh-CN"/>
        </w:rPr>
        <w:t xml:space="preserve">The range [phi_1, phi_2] relative to the associated boresight direction (phi_boresight = 0) for azimuth. </w:t>
      </w:r>
    </w:p>
    <w:p w14:paraId="6F87A837" w14:textId="77777777" w:rsidR="001449F0" w:rsidRDefault="001449F0" w:rsidP="001449F0">
      <w:pPr>
        <w:rPr>
          <w:rFonts w:asciiTheme="minorHAnsi" w:hAnsiTheme="minorHAnsi" w:cstheme="minorHAnsi"/>
          <w:b/>
          <w:lang w:val="en-US" w:eastAsia="zh-CN"/>
        </w:rPr>
      </w:pPr>
      <w:r w:rsidRPr="00C52135">
        <w:rPr>
          <w:rFonts w:asciiTheme="minorHAnsi" w:hAnsiTheme="minorHAnsi" w:cstheme="minorHAnsi"/>
          <w:b/>
          <w:lang w:val="en-US" w:eastAsia="zh-CN"/>
        </w:rPr>
        <w:t>Proposal-</w:t>
      </w:r>
      <w:r>
        <w:rPr>
          <w:rFonts w:asciiTheme="minorHAnsi" w:hAnsiTheme="minorHAnsi" w:cstheme="minorHAnsi"/>
          <w:b/>
          <w:lang w:val="en-US" w:eastAsia="zh-CN"/>
        </w:rPr>
        <w:t>3</w:t>
      </w:r>
      <w:r w:rsidRPr="00C52135">
        <w:rPr>
          <w:rFonts w:asciiTheme="minorHAnsi" w:hAnsiTheme="minorHAnsi" w:cstheme="minorHAnsi"/>
          <w:b/>
          <w:lang w:val="en-US" w:eastAsia="zh-CN"/>
        </w:rPr>
        <w:t xml:space="preserve">: </w:t>
      </w:r>
      <w:r>
        <w:rPr>
          <w:rFonts w:asciiTheme="minorHAnsi" w:hAnsiTheme="minorHAnsi" w:cstheme="minorHAnsi"/>
          <w:b/>
          <w:lang w:val="en-US" w:eastAsia="zh-CN"/>
        </w:rPr>
        <w:t>For the area to be verified in FR2 HST spherical coverage requirement framework, it is proposed to use:</w:t>
      </w:r>
    </w:p>
    <w:p w14:paraId="424D371F" w14:textId="77777777" w:rsidR="001449F0" w:rsidRDefault="001449F0" w:rsidP="001449F0">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range [theta_1 = -10 degree, theta_2 = +10 degree] relative to the associated boresight direction (theta_boresight = 0) for elevation;</w:t>
      </w:r>
    </w:p>
    <w:p w14:paraId="274884E4" w14:textId="77777777" w:rsidR="001449F0" w:rsidRDefault="001449F0" w:rsidP="001449F0">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The range [phi_1 = -25 degree, phi_2 = +25 degree] relative to the associated boresight direction (phi_boresight = 0) for azimuth. </w:t>
      </w:r>
    </w:p>
    <w:p w14:paraId="241EF67F" w14:textId="77777777" w:rsidR="001449F0" w:rsidRDefault="001449F0" w:rsidP="001449F0">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Accordingly, the spherical coverage (by two UE panels) will be </w:t>
      </w:r>
    </w:p>
    <w:p w14:paraId="52E32D8B" w14:textId="77777777" w:rsidR="001449F0" w:rsidRPr="00693BF2" w:rsidRDefault="001449F0" w:rsidP="001449F0">
      <w:pPr>
        <w:pStyle w:val="ListParagraph"/>
        <w:ind w:left="720" w:firstLineChars="0" w:firstLine="0"/>
        <w:rPr>
          <w:rFonts w:asciiTheme="minorHAnsi" w:hAnsiTheme="minorHAnsi" w:cstheme="minorHAnsi" w:hint="eastAsia"/>
          <w:b/>
          <w:lang w:val="en-US" w:eastAsia="zh-CN"/>
        </w:rPr>
      </w:pPr>
      <m:oMathPara>
        <m:oMath>
          <m:f>
            <m:fPr>
              <m:ctrlPr>
                <w:rPr>
                  <w:rFonts w:ascii="Cambria Math" w:hAnsi="Cambria Math"/>
                  <w:i/>
                  <w:lang w:val="en-US" w:eastAsia="zh-TW"/>
                </w:rPr>
              </m:ctrlPr>
            </m:fPr>
            <m:num>
              <m:r>
                <w:rPr>
                  <w:rFonts w:ascii="Cambria Math" w:hAnsi="Cambria Math"/>
                  <w:lang w:val="en-US" w:eastAsia="zh-TW"/>
                </w:rPr>
                <m:t>2A</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=2×</m:t>
          </m:r>
          <m:f>
            <m:fPr>
              <m:ctrlPr>
                <w:rPr>
                  <w:rFonts w:ascii="Cambria Math" w:hAnsi="Cambria Math"/>
                  <w:i/>
                  <w:lang w:val="en-US" w:eastAsia="zh-TW"/>
                </w:rPr>
              </m:ctrlPr>
            </m:fPr>
            <m:num>
              <m:r>
                <w:rPr>
                  <w:rFonts w:ascii="Cambria Math" w:hAnsi="Cambria Math"/>
                  <w:lang w:val="en-US" w:eastAsia="zh-TW"/>
                </w:rPr>
                <m:t>2π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r>
                <m:rPr>
                  <m:sty m:val="p"/>
                </m:rPr>
                <w:rPr>
                  <w:rFonts w:ascii="Cambria Math" w:hAnsi="Cambria Math"/>
                  <w:lang w:val="en-US" w:eastAsia="zh-TW"/>
                </w:rPr>
                <m:t>[</m:t>
              </m:r>
              <m:func>
                <m:funcPr>
                  <m:ctrlPr>
                    <w:rPr>
                      <w:rFonts w:ascii="Cambria Math" w:hAnsi="Cambria Math"/>
                      <w:lang w:val="en-US" w:eastAsia="zh-TW"/>
                    </w:rPr>
                  </m:ctrlPr>
                </m:funcPr>
                <m:fName>
                  <m:r>
                    <m:rPr>
                      <m:sty m:val="p"/>
                    </m:rPr>
                    <w:rPr>
                      <w:rFonts w:ascii="Cambria Math" w:hAnsi="Cambria Math"/>
                      <w:lang w:val="en-US" w:eastAsia="zh-TW"/>
                    </w:rPr>
                    <m:t>sin</m:t>
                  </m:r>
                </m:fName>
                <m:e>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2</m:t>
                          </m:r>
                        </m:sub>
                      </m:sSub>
                    </m:e>
                  </m:d>
                </m:e>
              </m:func>
              <m:r>
                <w:rPr>
                  <w:rFonts w:ascii="Cambria Math" w:hAnsi="Cambria Math"/>
                  <w:lang w:val="en-US" w:eastAsia="zh-TW"/>
                </w:rPr>
                <m:t>-</m:t>
              </m:r>
              <m:func>
                <m:funcPr>
                  <m:ctrlPr>
                    <w:rPr>
                      <w:rFonts w:ascii="Cambria Math" w:hAnsi="Cambria Math"/>
                      <w:lang w:val="en-US" w:eastAsia="zh-TW"/>
                    </w:rPr>
                  </m:ctrlPr>
                </m:funcPr>
                <m:fName>
                  <m:r>
                    <m:rPr>
                      <m:sty m:val="p"/>
                    </m:rPr>
                    <w:rPr>
                      <w:rFonts w:ascii="Cambria Math" w:hAnsi="Cambria Math"/>
                      <w:lang w:val="en-US" w:eastAsia="zh-TW"/>
                    </w:rPr>
                    <m:t>sin</m:t>
                  </m:r>
                </m:fName>
                <m:e>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1</m:t>
                          </m:r>
                        </m:sub>
                      </m:sSub>
                    </m:e>
                  </m:d>
                </m:e>
              </m:func>
              <m:r>
                <m:rPr>
                  <m:sty m:val="p"/>
                </m:rPr>
                <w:rPr>
                  <w:rFonts w:ascii="Cambria Math" w:hAnsi="Cambria Math"/>
                  <w:lang w:val="en-US" w:eastAsia="zh-TW"/>
                </w:rPr>
                <m:t>]</m:t>
              </m:r>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2</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1</m:t>
                      </m:r>
                    </m:sub>
                  </m:sSub>
                  <m:r>
                    <w:rPr>
                      <w:rFonts w:ascii="Cambria Math" w:hAnsi="Cambria Math"/>
                      <w:lang w:val="en-US" w:eastAsia="zh-TW"/>
                    </w:rPr>
                    <m:t>)</m:t>
                  </m:r>
                </m:num>
                <m:den>
                  <m:r>
                    <w:rPr>
                      <w:rFonts w:ascii="Cambria Math" w:hAnsi="Cambria Math"/>
                      <w:lang w:val="en-US" w:eastAsia="zh-TW"/>
                    </w:rPr>
                    <m:t>360</m:t>
                  </m:r>
                </m:den>
              </m:f>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≈5%</m:t>
          </m:r>
        </m:oMath>
      </m:oMathPara>
    </w:p>
    <w:p w14:paraId="4455DD17" w14:textId="77777777" w:rsidR="000D6735" w:rsidRPr="000D6735" w:rsidRDefault="000D6735" w:rsidP="00261CBB">
      <w:pPr>
        <w:rPr>
          <w:rFonts w:asciiTheme="minorHAnsi" w:hAnsiTheme="minorHAnsi" w:cstheme="minorHAnsi"/>
          <w:lang w:val="en-US"/>
        </w:rPr>
      </w:pPr>
      <w:bookmarkStart w:id="1" w:name="_GoBack"/>
      <w:bookmarkEnd w:id="1"/>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612D4A22"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sidR="00A27977">
        <w:rPr>
          <w:rFonts w:asciiTheme="minorHAnsi" w:hAnsiTheme="minorHAnsi" w:cstheme="minorHAnsi"/>
          <w:bCs/>
          <w:lang w:eastAsia="zh-CN"/>
        </w:rPr>
        <w:t>equency range 2 (FR2)”, Samsung.</w:t>
      </w:r>
    </w:p>
    <w:p w14:paraId="4457E04F" w14:textId="6D0D5290" w:rsidR="00A27977" w:rsidRPr="00A27977" w:rsidRDefault="00A27977" w:rsidP="00DD28BC">
      <w:pPr>
        <w:rPr>
          <w:rFonts w:asciiTheme="minorHAnsi" w:hAnsiTheme="minorHAnsi" w:cstheme="minorHAnsi"/>
          <w:lang w:eastAsia="zh-CN"/>
        </w:rPr>
      </w:pPr>
      <w:r>
        <w:rPr>
          <w:rFonts w:asciiTheme="minorHAnsi" w:hAnsiTheme="minorHAnsi" w:cstheme="minorHAnsi" w:hint="eastAsia"/>
          <w:lang w:eastAsia="zh-CN"/>
        </w:rPr>
        <w:t>[</w:t>
      </w:r>
      <w:r w:rsidR="003C48EC">
        <w:rPr>
          <w:rFonts w:asciiTheme="minorHAnsi" w:hAnsiTheme="minorHAnsi" w:cstheme="minorHAnsi"/>
          <w:lang w:eastAsia="zh-CN"/>
        </w:rPr>
        <w:t>3</w:t>
      </w:r>
      <w:r>
        <w:rPr>
          <w:rFonts w:asciiTheme="minorHAnsi" w:hAnsiTheme="minorHAnsi" w:cstheme="minorHAnsi"/>
          <w:lang w:eastAsia="zh-CN"/>
        </w:rPr>
        <w:t xml:space="preserve">]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70317F6E" w14:textId="16207946" w:rsidR="00EE63E4" w:rsidRPr="00546550"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4</w:t>
      </w:r>
      <w:r w:rsidRPr="00546550">
        <w:rPr>
          <w:rFonts w:asciiTheme="minorHAnsi" w:hAnsiTheme="minorHAnsi" w:cstheme="minorHAnsi"/>
          <w:lang w:eastAsia="zh-CN"/>
        </w:rPr>
        <w:t>] R4-21</w:t>
      </w:r>
      <w:r w:rsidR="00546550">
        <w:rPr>
          <w:rFonts w:asciiTheme="minorHAnsi" w:hAnsiTheme="minorHAnsi" w:cstheme="minorHAnsi"/>
          <w:lang w:eastAsia="zh-CN"/>
        </w:rPr>
        <w:t>10234</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Scenario-A”, Samsung.</w:t>
      </w:r>
    </w:p>
    <w:p w14:paraId="35F29B7E" w14:textId="27E76944" w:rsidR="00EE63E4"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5</w:t>
      </w:r>
      <w:r w:rsidRPr="00546550">
        <w:rPr>
          <w:rFonts w:asciiTheme="minorHAnsi" w:hAnsiTheme="minorHAnsi" w:cstheme="minorHAnsi"/>
          <w:lang w:eastAsia="zh-CN"/>
        </w:rPr>
        <w:t>] R4-21</w:t>
      </w:r>
      <w:r w:rsidR="00546550">
        <w:rPr>
          <w:rFonts w:asciiTheme="minorHAnsi" w:hAnsiTheme="minorHAnsi" w:cstheme="minorHAnsi"/>
          <w:lang w:eastAsia="zh-CN"/>
        </w:rPr>
        <w:t>10235</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Scenario-B”, Samsung.</w:t>
      </w:r>
    </w:p>
    <w:p w14:paraId="454562F3" w14:textId="242693E5" w:rsidR="00A73022" w:rsidRDefault="00A73022" w:rsidP="00A73022">
      <w:pPr>
        <w:rPr>
          <w:rFonts w:asciiTheme="minorHAnsi" w:hAnsiTheme="minorHAnsi" w:cstheme="minorHAnsi"/>
          <w:lang w:eastAsia="zh-CN"/>
        </w:rPr>
      </w:pPr>
      <w:r>
        <w:rPr>
          <w:rFonts w:asciiTheme="minorHAnsi" w:hAnsiTheme="minorHAnsi" w:cstheme="minorHAnsi"/>
          <w:lang w:eastAsia="zh-CN"/>
        </w:rPr>
        <w:t>[6]</w:t>
      </w:r>
      <w:r w:rsidRPr="00A73022">
        <w:t xml:space="preserve"> </w:t>
      </w:r>
      <w:r w:rsidR="00220184">
        <w:rPr>
          <w:rFonts w:asciiTheme="minorHAnsi" w:hAnsiTheme="minorHAnsi" w:cstheme="minorHAnsi"/>
          <w:lang w:eastAsia="zh-CN"/>
        </w:rPr>
        <w:t>R4-2008964, “</w:t>
      </w:r>
      <w:r w:rsidRPr="00A73022">
        <w:rPr>
          <w:rFonts w:asciiTheme="minorHAnsi" w:hAnsiTheme="minorHAnsi" w:cstheme="minorHAnsi"/>
          <w:lang w:eastAsia="zh-CN"/>
        </w:rPr>
        <w:t>Email discussion summary for [95e][136] NR_FR2_FWA_Bn257_Bn258</w:t>
      </w:r>
      <w:r w:rsidR="00220184">
        <w:rPr>
          <w:rFonts w:asciiTheme="minorHAnsi" w:hAnsiTheme="minorHAnsi" w:cstheme="minorHAnsi"/>
          <w:lang w:eastAsia="zh-CN"/>
        </w:rPr>
        <w:t>”</w:t>
      </w:r>
      <w:r>
        <w:rPr>
          <w:rFonts w:asciiTheme="minorHAnsi" w:hAnsiTheme="minorHAnsi" w:cstheme="minorHAnsi"/>
          <w:lang w:eastAsia="zh-CN"/>
        </w:rPr>
        <w:t xml:space="preserve">, </w:t>
      </w:r>
      <w:r w:rsidRPr="00A73022">
        <w:rPr>
          <w:rFonts w:asciiTheme="minorHAnsi" w:hAnsiTheme="minorHAnsi" w:cstheme="minorHAnsi"/>
          <w:lang w:eastAsia="zh-CN"/>
        </w:rPr>
        <w:t>Moderator (Softbank)</w:t>
      </w:r>
    </w:p>
    <w:p w14:paraId="0443C7CB" w14:textId="0C79C939" w:rsidR="00220184" w:rsidRDefault="00220184" w:rsidP="00A73022">
      <w:pPr>
        <w:rPr>
          <w:rFonts w:asciiTheme="minorHAnsi" w:hAnsiTheme="minorHAnsi" w:cstheme="minorHAnsi"/>
          <w:lang w:eastAsia="zh-CN"/>
        </w:rPr>
      </w:pPr>
      <w:r>
        <w:rPr>
          <w:rFonts w:asciiTheme="minorHAnsi" w:hAnsiTheme="minorHAnsi" w:cstheme="minorHAnsi"/>
          <w:lang w:eastAsia="zh-CN"/>
        </w:rPr>
        <w:t>[7] R4-2106100, “</w:t>
      </w:r>
      <w:r w:rsidRPr="00220184">
        <w:rPr>
          <w:rFonts w:asciiTheme="minorHAnsi" w:hAnsiTheme="minorHAnsi" w:cstheme="minorHAnsi"/>
          <w:lang w:eastAsia="zh-CN"/>
        </w:rPr>
        <w:t>WF on FR2 HST D</w:t>
      </w:r>
      <w:r>
        <w:rPr>
          <w:rFonts w:asciiTheme="minorHAnsi" w:hAnsiTheme="minorHAnsi" w:cstheme="minorHAnsi"/>
          <w:lang w:eastAsia="zh-CN"/>
        </w:rPr>
        <w:t xml:space="preserve">eployment Scenario Analysis”, </w:t>
      </w:r>
      <w:r w:rsidRPr="00220184">
        <w:rPr>
          <w:rFonts w:asciiTheme="minorHAnsi" w:hAnsiTheme="minorHAnsi" w:cstheme="minorHAnsi"/>
          <w:lang w:eastAsia="zh-CN"/>
        </w:rPr>
        <w:t>Samsung</w:t>
      </w:r>
    </w:p>
    <w:p w14:paraId="0CF0C00E" w14:textId="0D222487" w:rsidR="00285A44" w:rsidRDefault="00285A44" w:rsidP="00A73022">
      <w:pPr>
        <w:rPr>
          <w:rFonts w:asciiTheme="minorHAnsi" w:hAnsiTheme="minorHAnsi" w:cstheme="minorHAnsi"/>
          <w:lang w:eastAsia="zh-CN"/>
        </w:rPr>
      </w:pPr>
      <w:r>
        <w:rPr>
          <w:rFonts w:asciiTheme="minorHAnsi" w:hAnsiTheme="minorHAnsi" w:cstheme="minorHAnsi"/>
          <w:lang w:eastAsia="zh-CN"/>
        </w:rPr>
        <w:t xml:space="preserve">[8] </w:t>
      </w:r>
      <w:r w:rsidRPr="00285A44">
        <w:rPr>
          <w:rFonts w:asciiTheme="minorHAnsi" w:hAnsiTheme="minorHAnsi" w:cstheme="minorHAnsi"/>
          <w:lang w:eastAsia="zh-CN"/>
        </w:rPr>
        <w:t>R4-2107861</w:t>
      </w:r>
      <w:r>
        <w:rPr>
          <w:rFonts w:asciiTheme="minorHAnsi" w:hAnsiTheme="minorHAnsi" w:cstheme="minorHAnsi"/>
          <w:lang w:eastAsia="zh-CN"/>
        </w:rPr>
        <w:t>,</w:t>
      </w:r>
      <w:r w:rsidRPr="00285A44">
        <w:rPr>
          <w:rFonts w:asciiTheme="minorHAnsi" w:hAnsiTheme="minorHAnsi" w:cstheme="minorHAnsi"/>
          <w:lang w:eastAsia="zh-CN"/>
        </w:rPr>
        <w:tab/>
      </w:r>
      <w:r>
        <w:rPr>
          <w:rFonts w:asciiTheme="minorHAnsi" w:hAnsiTheme="minorHAnsi" w:cstheme="minorHAnsi"/>
          <w:lang w:eastAsia="zh-CN"/>
        </w:rPr>
        <w:t>“</w:t>
      </w:r>
      <w:r w:rsidRPr="00285A44">
        <w:rPr>
          <w:rFonts w:asciiTheme="minorHAnsi" w:hAnsiTheme="minorHAnsi" w:cstheme="minorHAnsi"/>
          <w:lang w:eastAsia="zh-CN"/>
        </w:rPr>
        <w:t>WF on UE RF requirement for FR2 HST</w:t>
      </w:r>
      <w:r>
        <w:rPr>
          <w:rFonts w:asciiTheme="minorHAnsi" w:hAnsiTheme="minorHAnsi" w:cstheme="minorHAnsi"/>
          <w:lang w:eastAsia="zh-CN"/>
        </w:rPr>
        <w:t xml:space="preserve">”, </w:t>
      </w:r>
      <w:r w:rsidRPr="00285A44">
        <w:rPr>
          <w:rFonts w:asciiTheme="minorHAnsi" w:hAnsiTheme="minorHAnsi" w:cstheme="minorHAnsi"/>
          <w:lang w:eastAsia="zh-CN"/>
        </w:rPr>
        <w:t>Samsung</w:t>
      </w:r>
      <w:r w:rsidR="00CF18F6">
        <w:rPr>
          <w:rFonts w:asciiTheme="minorHAnsi" w:hAnsiTheme="minorHAnsi" w:cstheme="minorHAnsi"/>
          <w:lang w:eastAsia="zh-CN"/>
        </w:rPr>
        <w:t>.</w:t>
      </w:r>
    </w:p>
    <w:p w14:paraId="76F26D14" w14:textId="43DDCD8F" w:rsidR="00F059BE" w:rsidRDefault="00F059BE" w:rsidP="00A73022">
      <w:pPr>
        <w:rPr>
          <w:rFonts w:asciiTheme="minorHAnsi" w:hAnsiTheme="minorHAnsi" w:cstheme="minorHAnsi"/>
          <w:lang w:eastAsia="zh-CN"/>
        </w:rPr>
      </w:pPr>
      <w:r>
        <w:rPr>
          <w:rFonts w:asciiTheme="minorHAnsi" w:hAnsiTheme="minorHAnsi" w:cstheme="minorHAnsi"/>
          <w:lang w:eastAsia="zh-CN"/>
        </w:rPr>
        <w:t xml:space="preserve">[9] </w:t>
      </w:r>
      <w:r w:rsidRPr="00FE02E9">
        <w:rPr>
          <w:rFonts w:asciiTheme="minorHAnsi" w:hAnsiTheme="minorHAnsi" w:cstheme="minorHAnsi"/>
          <w:lang w:eastAsia="zh-CN"/>
        </w:rPr>
        <w:t>R4-2114976</w:t>
      </w:r>
      <w:r>
        <w:rPr>
          <w:rFonts w:asciiTheme="minorHAnsi" w:hAnsiTheme="minorHAnsi" w:cstheme="minorHAnsi"/>
          <w:lang w:eastAsia="zh-CN"/>
        </w:rPr>
        <w:t>,</w:t>
      </w:r>
      <w:r w:rsidRPr="00FE02E9">
        <w:rPr>
          <w:rFonts w:asciiTheme="minorHAnsi" w:hAnsiTheme="minorHAnsi" w:cstheme="minorHAnsi"/>
          <w:lang w:eastAsia="zh-CN"/>
        </w:rPr>
        <w:t xml:space="preserve"> </w:t>
      </w:r>
      <w:r w:rsidRPr="00285A44">
        <w:rPr>
          <w:rFonts w:asciiTheme="minorHAnsi" w:hAnsiTheme="minorHAnsi" w:cstheme="minorHAnsi"/>
          <w:lang w:eastAsia="zh-CN"/>
        </w:rPr>
        <w:tab/>
      </w:r>
      <w:r>
        <w:rPr>
          <w:rFonts w:asciiTheme="minorHAnsi" w:hAnsiTheme="minorHAnsi" w:cstheme="minorHAnsi"/>
          <w:lang w:eastAsia="zh-CN"/>
        </w:rPr>
        <w:t>“</w:t>
      </w:r>
      <w:r w:rsidRPr="00FE02E9">
        <w:rPr>
          <w:rFonts w:asciiTheme="minorHAnsi" w:hAnsiTheme="minorHAnsi" w:cstheme="minorHAnsi"/>
          <w:lang w:eastAsia="zh-CN"/>
        </w:rPr>
        <w:t>WF on UE RF requirement for FR2 HST</w:t>
      </w:r>
      <w:r>
        <w:rPr>
          <w:rFonts w:asciiTheme="minorHAnsi" w:hAnsiTheme="minorHAnsi" w:cstheme="minorHAnsi"/>
          <w:lang w:eastAsia="zh-CN"/>
        </w:rPr>
        <w:t>”, Samsung.</w:t>
      </w:r>
    </w:p>
    <w:p w14:paraId="4CB05431" w14:textId="2F732A7B" w:rsidR="00DF59D6" w:rsidRDefault="00DF59D6" w:rsidP="00EE63E4">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7A71B" w14:textId="77777777" w:rsidR="00B346CC" w:rsidRDefault="00B346CC">
      <w:r>
        <w:separator/>
      </w:r>
    </w:p>
  </w:endnote>
  <w:endnote w:type="continuationSeparator" w:id="0">
    <w:p w14:paraId="304CABFE" w14:textId="77777777" w:rsidR="00B346CC" w:rsidRDefault="00B3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8A0B3" w14:textId="77777777" w:rsidR="00B346CC" w:rsidRDefault="00B346CC">
      <w:r>
        <w:separator/>
      </w:r>
    </w:p>
  </w:footnote>
  <w:footnote w:type="continuationSeparator" w:id="0">
    <w:p w14:paraId="198660FE" w14:textId="77777777" w:rsidR="00B346CC" w:rsidRDefault="00B346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7" w15:restartNumberingAfterBreak="0">
    <w:nsid w:val="52E42CDD"/>
    <w:multiLevelType w:val="hybridMultilevel"/>
    <w:tmpl w:val="650CE67A"/>
    <w:lvl w:ilvl="0" w:tplc="2EAA9EE6">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9"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8A5A64"/>
    <w:multiLevelType w:val="multilevel"/>
    <w:tmpl w:val="F65CC04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0"/>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
  </w:num>
  <w:num w:numId="13">
    <w:abstractNumId w:val="7"/>
  </w:num>
  <w:num w:numId="14">
    <w:abstractNumId w:val="11"/>
  </w:num>
  <w:num w:numId="1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7EA9"/>
    <w:rsid w:val="000236C3"/>
    <w:rsid w:val="0003171D"/>
    <w:rsid w:val="00031C1D"/>
    <w:rsid w:val="000353D1"/>
    <w:rsid w:val="000457A1"/>
    <w:rsid w:val="000472B6"/>
    <w:rsid w:val="00050001"/>
    <w:rsid w:val="00052041"/>
    <w:rsid w:val="0005326A"/>
    <w:rsid w:val="00054750"/>
    <w:rsid w:val="00057F68"/>
    <w:rsid w:val="00060A07"/>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08AE"/>
    <w:rsid w:val="000B1A55"/>
    <w:rsid w:val="000B1B93"/>
    <w:rsid w:val="000B20BB"/>
    <w:rsid w:val="000B2EF6"/>
    <w:rsid w:val="000B2FA6"/>
    <w:rsid w:val="000B31A6"/>
    <w:rsid w:val="000B4AA0"/>
    <w:rsid w:val="000C38C3"/>
    <w:rsid w:val="000D399A"/>
    <w:rsid w:val="000D44FB"/>
    <w:rsid w:val="000D66A7"/>
    <w:rsid w:val="000D6735"/>
    <w:rsid w:val="000D6CFC"/>
    <w:rsid w:val="000E4410"/>
    <w:rsid w:val="000E537B"/>
    <w:rsid w:val="000E57D0"/>
    <w:rsid w:val="000E595A"/>
    <w:rsid w:val="000E7858"/>
    <w:rsid w:val="000F7828"/>
    <w:rsid w:val="00103AB6"/>
    <w:rsid w:val="00104DFD"/>
    <w:rsid w:val="0010519A"/>
    <w:rsid w:val="0010639C"/>
    <w:rsid w:val="00107688"/>
    <w:rsid w:val="00110E26"/>
    <w:rsid w:val="00117BD6"/>
    <w:rsid w:val="001206C2"/>
    <w:rsid w:val="00121978"/>
    <w:rsid w:val="00123422"/>
    <w:rsid w:val="00124B6A"/>
    <w:rsid w:val="00127974"/>
    <w:rsid w:val="001357A8"/>
    <w:rsid w:val="001449F0"/>
    <w:rsid w:val="00144F96"/>
    <w:rsid w:val="00151EAC"/>
    <w:rsid w:val="00153146"/>
    <w:rsid w:val="00153528"/>
    <w:rsid w:val="0015372A"/>
    <w:rsid w:val="00154E68"/>
    <w:rsid w:val="00157E53"/>
    <w:rsid w:val="00162548"/>
    <w:rsid w:val="0016358B"/>
    <w:rsid w:val="00172183"/>
    <w:rsid w:val="00174284"/>
    <w:rsid w:val="001751AB"/>
    <w:rsid w:val="00175A3F"/>
    <w:rsid w:val="00180E09"/>
    <w:rsid w:val="001832A4"/>
    <w:rsid w:val="00183D4C"/>
    <w:rsid w:val="00183F6D"/>
    <w:rsid w:val="001843AC"/>
    <w:rsid w:val="0018670E"/>
    <w:rsid w:val="0018681E"/>
    <w:rsid w:val="00191505"/>
    <w:rsid w:val="00191981"/>
    <w:rsid w:val="00195077"/>
    <w:rsid w:val="001A08AA"/>
    <w:rsid w:val="001A1BB8"/>
    <w:rsid w:val="001A391C"/>
    <w:rsid w:val="001A425A"/>
    <w:rsid w:val="001A5AAE"/>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0184"/>
    <w:rsid w:val="00222897"/>
    <w:rsid w:val="00222B0C"/>
    <w:rsid w:val="00227A12"/>
    <w:rsid w:val="00235394"/>
    <w:rsid w:val="00235577"/>
    <w:rsid w:val="00237B5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5A44"/>
    <w:rsid w:val="00285DA3"/>
    <w:rsid w:val="002939AF"/>
    <w:rsid w:val="00294491"/>
    <w:rsid w:val="00294BDE"/>
    <w:rsid w:val="00296A91"/>
    <w:rsid w:val="00297E2B"/>
    <w:rsid w:val="002A0124"/>
    <w:rsid w:val="002A0CED"/>
    <w:rsid w:val="002A4CD0"/>
    <w:rsid w:val="002A7DA6"/>
    <w:rsid w:val="002B00C9"/>
    <w:rsid w:val="002B392F"/>
    <w:rsid w:val="002B516C"/>
    <w:rsid w:val="002B60C1"/>
    <w:rsid w:val="002C1090"/>
    <w:rsid w:val="002C4B52"/>
    <w:rsid w:val="002C5C0E"/>
    <w:rsid w:val="002D03E5"/>
    <w:rsid w:val="002D36EB"/>
    <w:rsid w:val="002E2CE9"/>
    <w:rsid w:val="002E345E"/>
    <w:rsid w:val="002E37DC"/>
    <w:rsid w:val="002E3BF7"/>
    <w:rsid w:val="002E5694"/>
    <w:rsid w:val="002F158C"/>
    <w:rsid w:val="002F4093"/>
    <w:rsid w:val="002F5636"/>
    <w:rsid w:val="003022A5"/>
    <w:rsid w:val="00311116"/>
    <w:rsid w:val="0031296A"/>
    <w:rsid w:val="0031298A"/>
    <w:rsid w:val="00315867"/>
    <w:rsid w:val="0031776C"/>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86A18"/>
    <w:rsid w:val="00393042"/>
    <w:rsid w:val="00394AD5"/>
    <w:rsid w:val="0039642D"/>
    <w:rsid w:val="003A2E40"/>
    <w:rsid w:val="003A4F44"/>
    <w:rsid w:val="003A56BD"/>
    <w:rsid w:val="003A6933"/>
    <w:rsid w:val="003B0158"/>
    <w:rsid w:val="003B027F"/>
    <w:rsid w:val="003B56DB"/>
    <w:rsid w:val="003B755E"/>
    <w:rsid w:val="003C228E"/>
    <w:rsid w:val="003C48EC"/>
    <w:rsid w:val="003C51E7"/>
    <w:rsid w:val="003D1EFD"/>
    <w:rsid w:val="003D28BF"/>
    <w:rsid w:val="003D4215"/>
    <w:rsid w:val="003D7719"/>
    <w:rsid w:val="003E05C5"/>
    <w:rsid w:val="003E237E"/>
    <w:rsid w:val="003F1C1B"/>
    <w:rsid w:val="003F1F5D"/>
    <w:rsid w:val="004007FE"/>
    <w:rsid w:val="00401144"/>
    <w:rsid w:val="00407661"/>
    <w:rsid w:val="00410314"/>
    <w:rsid w:val="00411995"/>
    <w:rsid w:val="00412063"/>
    <w:rsid w:val="00412EB1"/>
    <w:rsid w:val="00414118"/>
    <w:rsid w:val="00416084"/>
    <w:rsid w:val="00422F51"/>
    <w:rsid w:val="00424F8C"/>
    <w:rsid w:val="004271BA"/>
    <w:rsid w:val="00427810"/>
    <w:rsid w:val="00433DB7"/>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D3618"/>
    <w:rsid w:val="004D67CC"/>
    <w:rsid w:val="004E1ECF"/>
    <w:rsid w:val="004E2659"/>
    <w:rsid w:val="004E39EE"/>
    <w:rsid w:val="004E56E0"/>
    <w:rsid w:val="004E7329"/>
    <w:rsid w:val="004F12A0"/>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35DF9"/>
    <w:rsid w:val="00541573"/>
    <w:rsid w:val="00541D59"/>
    <w:rsid w:val="0054348A"/>
    <w:rsid w:val="00546550"/>
    <w:rsid w:val="00550DD1"/>
    <w:rsid w:val="0055136F"/>
    <w:rsid w:val="005516EA"/>
    <w:rsid w:val="0056479E"/>
    <w:rsid w:val="00575082"/>
    <w:rsid w:val="00582081"/>
    <w:rsid w:val="0058512E"/>
    <w:rsid w:val="0058519C"/>
    <w:rsid w:val="005916E8"/>
    <w:rsid w:val="00591D7E"/>
    <w:rsid w:val="00593201"/>
    <w:rsid w:val="005956EE"/>
    <w:rsid w:val="005A083E"/>
    <w:rsid w:val="005A74E2"/>
    <w:rsid w:val="005B145A"/>
    <w:rsid w:val="005B18FB"/>
    <w:rsid w:val="005B7C47"/>
    <w:rsid w:val="005C1EA6"/>
    <w:rsid w:val="005C20B6"/>
    <w:rsid w:val="005D0B99"/>
    <w:rsid w:val="005D308E"/>
    <w:rsid w:val="005D3A48"/>
    <w:rsid w:val="005D794D"/>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036A"/>
    <w:rsid w:val="006412DC"/>
    <w:rsid w:val="006437E5"/>
    <w:rsid w:val="00644790"/>
    <w:rsid w:val="006501AF"/>
    <w:rsid w:val="00650A2C"/>
    <w:rsid w:val="00650DDE"/>
    <w:rsid w:val="006528D3"/>
    <w:rsid w:val="0065360C"/>
    <w:rsid w:val="0065561E"/>
    <w:rsid w:val="006649EA"/>
    <w:rsid w:val="00672307"/>
    <w:rsid w:val="00676789"/>
    <w:rsid w:val="006808C6"/>
    <w:rsid w:val="00687C2B"/>
    <w:rsid w:val="00692A68"/>
    <w:rsid w:val="00693BF2"/>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49D6"/>
    <w:rsid w:val="00727F46"/>
    <w:rsid w:val="00730655"/>
    <w:rsid w:val="007318A1"/>
    <w:rsid w:val="00731D77"/>
    <w:rsid w:val="00732360"/>
    <w:rsid w:val="0073390A"/>
    <w:rsid w:val="00734E64"/>
    <w:rsid w:val="00736B37"/>
    <w:rsid w:val="007375C6"/>
    <w:rsid w:val="0073770D"/>
    <w:rsid w:val="007439E9"/>
    <w:rsid w:val="00746477"/>
    <w:rsid w:val="00750FD8"/>
    <w:rsid w:val="00751001"/>
    <w:rsid w:val="007520B4"/>
    <w:rsid w:val="0075308A"/>
    <w:rsid w:val="00772410"/>
    <w:rsid w:val="007763C1"/>
    <w:rsid w:val="00777E82"/>
    <w:rsid w:val="00781359"/>
    <w:rsid w:val="00785251"/>
    <w:rsid w:val="00791B81"/>
    <w:rsid w:val="00794A50"/>
    <w:rsid w:val="00797187"/>
    <w:rsid w:val="007A5ACC"/>
    <w:rsid w:val="007A6D56"/>
    <w:rsid w:val="007A6D8E"/>
    <w:rsid w:val="007A79FD"/>
    <w:rsid w:val="007B0B9D"/>
    <w:rsid w:val="007B43D6"/>
    <w:rsid w:val="007B5A43"/>
    <w:rsid w:val="007B68E6"/>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3EA9"/>
    <w:rsid w:val="00816078"/>
    <w:rsid w:val="008177E3"/>
    <w:rsid w:val="00821DDF"/>
    <w:rsid w:val="00823AA9"/>
    <w:rsid w:val="00825CD8"/>
    <w:rsid w:val="00827324"/>
    <w:rsid w:val="00837587"/>
    <w:rsid w:val="00837AAE"/>
    <w:rsid w:val="00842587"/>
    <w:rsid w:val="0084291A"/>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DAC"/>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63BBF"/>
    <w:rsid w:val="009728FA"/>
    <w:rsid w:val="0097408E"/>
    <w:rsid w:val="00974BB2"/>
    <w:rsid w:val="00974FA7"/>
    <w:rsid w:val="009756E5"/>
    <w:rsid w:val="00977A8C"/>
    <w:rsid w:val="00983910"/>
    <w:rsid w:val="00983BAF"/>
    <w:rsid w:val="00983D09"/>
    <w:rsid w:val="009863A5"/>
    <w:rsid w:val="009932AC"/>
    <w:rsid w:val="00993905"/>
    <w:rsid w:val="009964A3"/>
    <w:rsid w:val="009A1DBF"/>
    <w:rsid w:val="009A2F1A"/>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2285C"/>
    <w:rsid w:val="00A27977"/>
    <w:rsid w:val="00A33B4F"/>
    <w:rsid w:val="00A33DDF"/>
    <w:rsid w:val="00A34547"/>
    <w:rsid w:val="00A34B9F"/>
    <w:rsid w:val="00A376B7"/>
    <w:rsid w:val="00A41568"/>
    <w:rsid w:val="00A41BF5"/>
    <w:rsid w:val="00A469E7"/>
    <w:rsid w:val="00A548ED"/>
    <w:rsid w:val="00A5530A"/>
    <w:rsid w:val="00A604A4"/>
    <w:rsid w:val="00A62760"/>
    <w:rsid w:val="00A6605B"/>
    <w:rsid w:val="00A66ADC"/>
    <w:rsid w:val="00A7118B"/>
    <w:rsid w:val="00A7147D"/>
    <w:rsid w:val="00A72612"/>
    <w:rsid w:val="00A73022"/>
    <w:rsid w:val="00A810D3"/>
    <w:rsid w:val="00A81B15"/>
    <w:rsid w:val="00A82C0D"/>
    <w:rsid w:val="00A837FF"/>
    <w:rsid w:val="00A84DC8"/>
    <w:rsid w:val="00A85DBC"/>
    <w:rsid w:val="00A87FEB"/>
    <w:rsid w:val="00A93F9F"/>
    <w:rsid w:val="00A9420E"/>
    <w:rsid w:val="00A97648"/>
    <w:rsid w:val="00AA1CFD"/>
    <w:rsid w:val="00AA2239"/>
    <w:rsid w:val="00AA2BDB"/>
    <w:rsid w:val="00AA33D2"/>
    <w:rsid w:val="00AA646D"/>
    <w:rsid w:val="00AB0C57"/>
    <w:rsid w:val="00AB1195"/>
    <w:rsid w:val="00AB3F21"/>
    <w:rsid w:val="00AB4182"/>
    <w:rsid w:val="00AB5793"/>
    <w:rsid w:val="00AB63A9"/>
    <w:rsid w:val="00AC27DB"/>
    <w:rsid w:val="00AC6D6B"/>
    <w:rsid w:val="00AD1085"/>
    <w:rsid w:val="00AD3BD4"/>
    <w:rsid w:val="00AD47A8"/>
    <w:rsid w:val="00AD7736"/>
    <w:rsid w:val="00AD7C4A"/>
    <w:rsid w:val="00AE06F6"/>
    <w:rsid w:val="00AE70D4"/>
    <w:rsid w:val="00AE7684"/>
    <w:rsid w:val="00AE7868"/>
    <w:rsid w:val="00AF0407"/>
    <w:rsid w:val="00AF1433"/>
    <w:rsid w:val="00AF3940"/>
    <w:rsid w:val="00B00012"/>
    <w:rsid w:val="00B0006A"/>
    <w:rsid w:val="00B02FD3"/>
    <w:rsid w:val="00B1071A"/>
    <w:rsid w:val="00B163F8"/>
    <w:rsid w:val="00B17F9F"/>
    <w:rsid w:val="00B2472D"/>
    <w:rsid w:val="00B2549F"/>
    <w:rsid w:val="00B267DD"/>
    <w:rsid w:val="00B346CC"/>
    <w:rsid w:val="00B368F1"/>
    <w:rsid w:val="00B51792"/>
    <w:rsid w:val="00B5425D"/>
    <w:rsid w:val="00B57265"/>
    <w:rsid w:val="00B6201B"/>
    <w:rsid w:val="00B633AE"/>
    <w:rsid w:val="00B65009"/>
    <w:rsid w:val="00B665D2"/>
    <w:rsid w:val="00B6737C"/>
    <w:rsid w:val="00B70192"/>
    <w:rsid w:val="00B715E1"/>
    <w:rsid w:val="00B7214D"/>
    <w:rsid w:val="00B74372"/>
    <w:rsid w:val="00B77F06"/>
    <w:rsid w:val="00B80283"/>
    <w:rsid w:val="00B8095F"/>
    <w:rsid w:val="00B80B0C"/>
    <w:rsid w:val="00B80B11"/>
    <w:rsid w:val="00B827B9"/>
    <w:rsid w:val="00B8446C"/>
    <w:rsid w:val="00B87725"/>
    <w:rsid w:val="00B92013"/>
    <w:rsid w:val="00BA140A"/>
    <w:rsid w:val="00BA1E48"/>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33EB"/>
    <w:rsid w:val="00BF6FE4"/>
    <w:rsid w:val="00C01D50"/>
    <w:rsid w:val="00C0385E"/>
    <w:rsid w:val="00C051CF"/>
    <w:rsid w:val="00C056DC"/>
    <w:rsid w:val="00C1329B"/>
    <w:rsid w:val="00C17202"/>
    <w:rsid w:val="00C17519"/>
    <w:rsid w:val="00C31283"/>
    <w:rsid w:val="00C31BDC"/>
    <w:rsid w:val="00C33C48"/>
    <w:rsid w:val="00C340E5"/>
    <w:rsid w:val="00C35AA7"/>
    <w:rsid w:val="00C414EC"/>
    <w:rsid w:val="00C43BA1"/>
    <w:rsid w:val="00C43DAB"/>
    <w:rsid w:val="00C4798D"/>
    <w:rsid w:val="00C47F08"/>
    <w:rsid w:val="00C52135"/>
    <w:rsid w:val="00C5739F"/>
    <w:rsid w:val="00C57CF0"/>
    <w:rsid w:val="00C646A6"/>
    <w:rsid w:val="00C65891"/>
    <w:rsid w:val="00C724D3"/>
    <w:rsid w:val="00C73664"/>
    <w:rsid w:val="00C736B0"/>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1FB3"/>
    <w:rsid w:val="00CD5914"/>
    <w:rsid w:val="00CD6A1B"/>
    <w:rsid w:val="00CE0A7F"/>
    <w:rsid w:val="00CE1718"/>
    <w:rsid w:val="00CF18F6"/>
    <w:rsid w:val="00CF377F"/>
    <w:rsid w:val="00CF4156"/>
    <w:rsid w:val="00D003FD"/>
    <w:rsid w:val="00D0108D"/>
    <w:rsid w:val="00D03D00"/>
    <w:rsid w:val="00D05C30"/>
    <w:rsid w:val="00D06C80"/>
    <w:rsid w:val="00D11359"/>
    <w:rsid w:val="00D14B0D"/>
    <w:rsid w:val="00D17607"/>
    <w:rsid w:val="00D218B4"/>
    <w:rsid w:val="00D24D31"/>
    <w:rsid w:val="00D25352"/>
    <w:rsid w:val="00D26F94"/>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3042"/>
    <w:rsid w:val="00D94582"/>
    <w:rsid w:val="00D97F0C"/>
    <w:rsid w:val="00DA3A86"/>
    <w:rsid w:val="00DA5AF2"/>
    <w:rsid w:val="00DB49AE"/>
    <w:rsid w:val="00DC4CAB"/>
    <w:rsid w:val="00DC4D4A"/>
    <w:rsid w:val="00DC77DC"/>
    <w:rsid w:val="00DC781F"/>
    <w:rsid w:val="00DD0C2C"/>
    <w:rsid w:val="00DD28BC"/>
    <w:rsid w:val="00DE2147"/>
    <w:rsid w:val="00DE31F0"/>
    <w:rsid w:val="00DE3D1C"/>
    <w:rsid w:val="00DF13CF"/>
    <w:rsid w:val="00DF59D6"/>
    <w:rsid w:val="00DF72F8"/>
    <w:rsid w:val="00E0227D"/>
    <w:rsid w:val="00E04B84"/>
    <w:rsid w:val="00E05FC1"/>
    <w:rsid w:val="00E0603D"/>
    <w:rsid w:val="00E06FDA"/>
    <w:rsid w:val="00E12E8C"/>
    <w:rsid w:val="00E160A5"/>
    <w:rsid w:val="00E16574"/>
    <w:rsid w:val="00E1713D"/>
    <w:rsid w:val="00E20A43"/>
    <w:rsid w:val="00E23898"/>
    <w:rsid w:val="00E317AA"/>
    <w:rsid w:val="00E33CD2"/>
    <w:rsid w:val="00E40E90"/>
    <w:rsid w:val="00E50AE3"/>
    <w:rsid w:val="00E531EB"/>
    <w:rsid w:val="00E54874"/>
    <w:rsid w:val="00E54B6F"/>
    <w:rsid w:val="00E55ACA"/>
    <w:rsid w:val="00E57B74"/>
    <w:rsid w:val="00E622DF"/>
    <w:rsid w:val="00E62B51"/>
    <w:rsid w:val="00E65F3A"/>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446E"/>
    <w:rsid w:val="00EB55B4"/>
    <w:rsid w:val="00EB61AE"/>
    <w:rsid w:val="00EB6C16"/>
    <w:rsid w:val="00EC1A60"/>
    <w:rsid w:val="00EC322D"/>
    <w:rsid w:val="00EC33D9"/>
    <w:rsid w:val="00EC686D"/>
    <w:rsid w:val="00EE5E10"/>
    <w:rsid w:val="00EE63E4"/>
    <w:rsid w:val="00EF4453"/>
    <w:rsid w:val="00EF55EB"/>
    <w:rsid w:val="00F00DCC"/>
    <w:rsid w:val="00F0156F"/>
    <w:rsid w:val="00F024E1"/>
    <w:rsid w:val="00F059BE"/>
    <w:rsid w:val="00F05AC8"/>
    <w:rsid w:val="00F07167"/>
    <w:rsid w:val="00F072D8"/>
    <w:rsid w:val="00F07CE0"/>
    <w:rsid w:val="00F13D05"/>
    <w:rsid w:val="00F1679D"/>
    <w:rsid w:val="00F1682C"/>
    <w:rsid w:val="00F16B45"/>
    <w:rsid w:val="00F20B91"/>
    <w:rsid w:val="00F24B8B"/>
    <w:rsid w:val="00F26C49"/>
    <w:rsid w:val="00F27257"/>
    <w:rsid w:val="00F30D2E"/>
    <w:rsid w:val="00F33F57"/>
    <w:rsid w:val="00F35516"/>
    <w:rsid w:val="00F35790"/>
    <w:rsid w:val="00F369F8"/>
    <w:rsid w:val="00F4136D"/>
    <w:rsid w:val="00F4212E"/>
    <w:rsid w:val="00F42C20"/>
    <w:rsid w:val="00F43E34"/>
    <w:rsid w:val="00F527EF"/>
    <w:rsid w:val="00F531A7"/>
    <w:rsid w:val="00F552D1"/>
    <w:rsid w:val="00F55E2D"/>
    <w:rsid w:val="00F6083D"/>
    <w:rsid w:val="00F618EF"/>
    <w:rsid w:val="00F61F33"/>
    <w:rsid w:val="00F65582"/>
    <w:rsid w:val="00F66E75"/>
    <w:rsid w:val="00F7169C"/>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C051F"/>
    <w:rsid w:val="00FC06FF"/>
    <w:rsid w:val="00FC71BD"/>
    <w:rsid w:val="00FD0694"/>
    <w:rsid w:val="00FD25BE"/>
    <w:rsid w:val="00FD2E70"/>
    <w:rsid w:val="00FD7AA7"/>
    <w:rsid w:val="00FE008E"/>
    <w:rsid w:val="00FE02A7"/>
    <w:rsid w:val="00FE1A08"/>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BAD239B-EC35-4945-ADDA-F0A569C88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9F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1Char1">
    <w:name w:val="B1 Char1"/>
    <w:locked/>
    <w:rsid w:val="00A73022"/>
    <w:rPr>
      <w:rFonts w:ascii="Arial" w:eastAsia="Batang" w:hAnsi="Arial"/>
      <w:color w:val="0000FF"/>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C12BD-A138-4835-A54D-691394804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1569</Words>
  <Characters>8948</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10497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2</cp:revision>
  <cp:lastPrinted>2019-04-25T01:09:00Z</cp:lastPrinted>
  <dcterms:created xsi:type="dcterms:W3CDTF">2021-10-22T11:53:00Z</dcterms:created>
  <dcterms:modified xsi:type="dcterms:W3CDTF">2021-10-22T11:53:00Z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